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18 次提交，涉及 18 条记录，当前仓库已跟踪 131 个文件、累计 18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仓库并全量导入资料；建立每日日志制度、协作指南与 AGENTS.md 常驻约定。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 设计文档.txt 实现可运行的本地版学习助手：Python 标准库后端（HTTP/SSE/SQLite/BM25）+ 原生 JS 前端，零第三方依赖。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侧边栏五模块、4 科 19 章、RAG 引用校验、错题本、易错提示、SSE 流式均已实现并通过 26 项端到端自检。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联网实测 9 个问题通过，首字 0.56~0.88 秒；据此修复跨科目串味、文件头当证据、虚词堆分、中文单字漏检四个检索缺陷。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按设计文档新增三条资料管理要求：点击资料直接打开源文件；删除文件夹支持「保留资料」与「连资料删除」两种模式；资料重组为 core 核心资料 + 四学科文件夹。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资料扩充至 17 个抓取来源（每个截取 6000 字），清理空壳页与重复项，当前共 27 份资料 148 切片；core 文件夹内置 3 篇核心知识。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16.07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oi-wiki 的 ds/tree 与 ds/mst 两个路径返回 200 但内容是空壳页（约 1.1 KB），已识别并改用 graph/tree-basic 与 graph/mst。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首次抓取未做内容校验，导致空壳页混入索引；已增加关键词命中检查并把坏资料删除重建。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旧库没有文件夹字段，新增文件夹体系需迁移；用 PRAGMA table_info + ALTER TABLE 补列，升级不删数据。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设计文档中 core 文件夹最初实现为「共识资料」，按文档措辞统一改名为「核心资料 core」，并支持旧名自动迁移。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「提问时自动联网搜集资料」未实现；「整理错题日志时扩充资料库」同样待做，需要搜索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用户画像按月归档、资料拖动排序、错题一键生成易错提示本，三项待补。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流水线仍无资料；计算机网络缺 DNS/TLS 专题。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库里有一个名为「1」的空文件夹（疑似手工测试残留），确认后删除。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20:44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