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72621" w14:textId="77777777" w:rsidR="00FF5BC0" w:rsidRPr="00F1010B" w:rsidRDefault="00FF5BC0" w:rsidP="00FF5BC0">
      <w:pPr>
        <w:jc w:val="center"/>
        <w:rPr>
          <w:rFonts w:ascii="宋体" w:hAnsi="宋体"/>
          <w:sz w:val="32"/>
          <w:szCs w:val="32"/>
        </w:rPr>
      </w:pPr>
      <w:r w:rsidRPr="00F1010B">
        <w:rPr>
          <w:rFonts w:ascii="宋体" w:hAnsi="宋体" w:hint="eastAsia"/>
          <w:sz w:val="32"/>
          <w:szCs w:val="32"/>
        </w:rPr>
        <w:t>基于LSTM和GARP的股票交易策略</w:t>
      </w:r>
    </w:p>
    <w:p w14:paraId="00E69F36" w14:textId="08B2DF67" w:rsidR="00EA63F1" w:rsidRPr="00EA63F1" w:rsidRDefault="002E7634" w:rsidP="00EA63F1">
      <w:pPr>
        <w:adjustRightInd w:val="0"/>
        <w:snapToGrid w:val="0"/>
        <w:rPr>
          <w:rFonts w:ascii="宋体" w:hAnsi="宋体"/>
        </w:rPr>
      </w:pPr>
      <w:r w:rsidRPr="00E71050">
        <w:rPr>
          <w:rFonts w:ascii="黑体" w:eastAsia="黑体" w:hAnsi="黑体" w:hint="eastAsia"/>
          <w:b/>
        </w:rPr>
        <w:t>摘要</w:t>
      </w:r>
      <w:r w:rsidR="00C73282">
        <w:rPr>
          <w:rFonts w:ascii="黑体" w:eastAsia="黑体" w:hAnsi="黑体" w:hint="eastAsia"/>
          <w:b/>
        </w:rPr>
        <w:t xml:space="preserve"> </w:t>
      </w:r>
      <w:r w:rsidR="00FF5BC0" w:rsidRPr="00FF5BC0">
        <w:rPr>
          <w:rFonts w:ascii="宋体" w:hAnsi="宋体" w:hint="eastAsia"/>
        </w:rPr>
        <w:t>针对中国股票市场风格多变的问题，本文提出一种结合长短时记忆网络（</w:t>
      </w:r>
      <w:r w:rsidR="00FF5BC0" w:rsidRPr="00FF5BC0">
        <w:rPr>
          <w:rFonts w:ascii="宋体" w:hAnsi="宋体"/>
        </w:rPr>
        <w:t>LSTM）的多因子股价预测模型和GARP策略的多因子选股模型的股票交易策略。</w:t>
      </w:r>
      <w:r w:rsidR="00AD519E">
        <w:rPr>
          <w:rFonts w:ascii="宋体" w:hAnsi="宋体" w:hint="eastAsia"/>
        </w:rPr>
        <w:t>本文</w:t>
      </w:r>
      <w:r w:rsidR="00FF5BC0" w:rsidRPr="00FF5BC0">
        <w:rPr>
          <w:rFonts w:ascii="宋体" w:hAnsi="宋体"/>
        </w:rPr>
        <w:t>在建立的因子池中利用相关性分析，得出四个与股价联系最为紧密的因子，通过运用不同的机器学习算法</w:t>
      </w:r>
      <w:r w:rsidR="00AD519E">
        <w:rPr>
          <w:rFonts w:ascii="宋体" w:hAnsi="宋体" w:hint="eastAsia"/>
        </w:rPr>
        <w:t>对数据</w:t>
      </w:r>
      <w:r w:rsidR="00FF5BC0" w:rsidRPr="00FF5BC0">
        <w:rPr>
          <w:rFonts w:ascii="宋体" w:hAnsi="宋体"/>
        </w:rPr>
        <w:t>进行回归或分类训练，训练结果表明；LSTM模型的综合能力较优。此外，将控制系统风险的贝塔系数引入GARP选股策略中，建立多因子选股模型。并利用股价预测模型捕捉波峰波谷，进行买卖时机的选择。本文利用“Auto-Trader回测引擎”进行回测，结果表明累计收益达到58.36%，</w:t>
      </w:r>
      <w:proofErr w:type="gramStart"/>
      <w:r w:rsidR="00FF5BC0" w:rsidRPr="00FF5BC0">
        <w:rPr>
          <w:rFonts w:ascii="宋体" w:hAnsi="宋体"/>
        </w:rPr>
        <w:t>年化收</w:t>
      </w:r>
      <w:r w:rsidR="00FF5BC0" w:rsidRPr="00FF5BC0">
        <w:rPr>
          <w:rFonts w:ascii="宋体" w:hAnsi="宋体" w:hint="eastAsia"/>
        </w:rPr>
        <w:t>益率</w:t>
      </w:r>
      <w:proofErr w:type="gramEnd"/>
      <w:r w:rsidR="00FF5BC0" w:rsidRPr="00FF5BC0">
        <w:rPr>
          <w:rFonts w:ascii="宋体" w:hAnsi="宋体" w:hint="eastAsia"/>
        </w:rPr>
        <w:t>为</w:t>
      </w:r>
      <w:r w:rsidR="00FF5BC0" w:rsidRPr="00FF5BC0">
        <w:rPr>
          <w:rFonts w:ascii="宋体" w:hAnsi="宋体"/>
        </w:rPr>
        <w:t>23.35%，最大回撤率控制在6.42%，夏普比率为1.78，贝塔系数为0.09，在收益和风险两个方面取得了较优的绩效。</w:t>
      </w:r>
    </w:p>
    <w:p w14:paraId="252C6311" w14:textId="080C5B94" w:rsidR="001A6339" w:rsidRDefault="00351D00" w:rsidP="00EA63F1">
      <w:pPr>
        <w:adjustRightInd w:val="0"/>
        <w:snapToGrid w:val="0"/>
        <w:rPr>
          <w:rFonts w:ascii="宋体" w:hAnsi="宋体"/>
        </w:rPr>
      </w:pPr>
      <w:r w:rsidRPr="00E71050">
        <w:rPr>
          <w:rFonts w:ascii="黑体" w:eastAsia="黑体" w:hAnsi="黑体" w:hint="eastAsia"/>
          <w:b/>
        </w:rPr>
        <w:t>关键词</w:t>
      </w:r>
      <w:r w:rsidR="00FF5BC0">
        <w:rPr>
          <w:rFonts w:ascii="宋体" w:hAnsi="宋体" w:hint="eastAsia"/>
          <w:b/>
          <w:szCs w:val="21"/>
        </w:rPr>
        <w:t>股票交易策略</w:t>
      </w:r>
      <w:r w:rsidR="00FF5BC0" w:rsidRPr="000F60F0">
        <w:rPr>
          <w:rFonts w:ascii="宋体" w:hAnsi="宋体" w:hint="eastAsia"/>
          <w:b/>
          <w:szCs w:val="21"/>
        </w:rPr>
        <w:t>；LSTM；</w:t>
      </w:r>
      <w:r w:rsidR="00FF5BC0">
        <w:rPr>
          <w:rFonts w:ascii="宋体" w:hAnsi="宋体" w:hint="eastAsia"/>
          <w:b/>
          <w:szCs w:val="21"/>
        </w:rPr>
        <w:t>机器学习</w:t>
      </w:r>
      <w:r w:rsidR="00FF5BC0" w:rsidRPr="000F60F0">
        <w:rPr>
          <w:rFonts w:ascii="宋体" w:hAnsi="宋体" w:hint="eastAsia"/>
          <w:b/>
          <w:szCs w:val="21"/>
        </w:rPr>
        <w:t>；GARP</w:t>
      </w:r>
      <w:r w:rsidR="00FF5BC0">
        <w:rPr>
          <w:rFonts w:ascii="宋体" w:hAnsi="宋体" w:hint="eastAsia"/>
          <w:b/>
          <w:szCs w:val="21"/>
        </w:rPr>
        <w:t>策略</w:t>
      </w:r>
    </w:p>
    <w:p w14:paraId="7302DFA5" w14:textId="77777777" w:rsidR="00C30EA2" w:rsidRDefault="00C30EA2" w:rsidP="00FF5BC0">
      <w:pPr>
        <w:adjustRightInd w:val="0"/>
        <w:snapToGrid w:val="0"/>
        <w:rPr>
          <w:rFonts w:ascii="宋体" w:hAnsi="宋体"/>
        </w:rPr>
        <w:sectPr w:rsidR="00C30EA2" w:rsidSect="008D4B1F">
          <w:pgSz w:w="11906" w:h="16838"/>
          <w:pgMar w:top="1440" w:right="1800" w:bottom="1440" w:left="1800" w:header="851" w:footer="992" w:gutter="0"/>
          <w:cols w:space="425"/>
          <w:docGrid w:type="lines" w:linePitch="312"/>
        </w:sectPr>
      </w:pPr>
    </w:p>
    <w:p w14:paraId="2FE98EB2" w14:textId="77777777" w:rsidR="00FF5BC0" w:rsidRPr="001B7B0F" w:rsidRDefault="00FF5BC0" w:rsidP="00FF5BC0">
      <w:pPr>
        <w:widowControl/>
        <w:jc w:val="left"/>
        <w:rPr>
          <w:rFonts w:ascii="宋体" w:hAnsi="宋体"/>
          <w:b/>
          <w:szCs w:val="24"/>
        </w:rPr>
      </w:pPr>
      <w:r w:rsidRPr="001B7B0F">
        <w:rPr>
          <w:rFonts w:ascii="宋体" w:hAnsi="宋体" w:hint="eastAsia"/>
          <w:b/>
          <w:szCs w:val="24"/>
        </w:rPr>
        <w:lastRenderedPageBreak/>
        <w:t>引言</w:t>
      </w:r>
    </w:p>
    <w:p w14:paraId="51312F1C" w14:textId="77777777" w:rsidR="00AD519E" w:rsidRDefault="00FF5BC0" w:rsidP="00FF5BC0">
      <w:pPr>
        <w:adjustRightInd w:val="0"/>
        <w:snapToGrid w:val="0"/>
        <w:rPr>
          <w:rFonts w:ascii="宋体" w:hAnsi="宋体" w:cs="Arial" w:hint="eastAsia"/>
          <w:color w:val="333333"/>
          <w:spacing w:val="9"/>
          <w:szCs w:val="21"/>
          <w:shd w:val="clear" w:color="auto" w:fill="FFFFFF"/>
        </w:rPr>
      </w:pPr>
      <w:proofErr w:type="spellStart"/>
      <w:r w:rsidRPr="000F60F0">
        <w:rPr>
          <w:rFonts w:ascii="宋体" w:hAnsi="宋体" w:hint="eastAsia"/>
          <w:szCs w:val="21"/>
        </w:rPr>
        <w:t>Fama</w:t>
      </w:r>
      <w:proofErr w:type="spellEnd"/>
      <w:r w:rsidRPr="000F60F0">
        <w:rPr>
          <w:rFonts w:ascii="宋体" w:hAnsi="宋体"/>
          <w:szCs w:val="21"/>
        </w:rPr>
        <w:t>-French</w:t>
      </w:r>
      <w:r w:rsidRPr="000F60F0">
        <w:rPr>
          <w:rFonts w:ascii="宋体" w:hAnsi="宋体" w:hint="eastAsia"/>
          <w:szCs w:val="21"/>
        </w:rPr>
        <w:t>于1</w:t>
      </w:r>
      <w:r w:rsidRPr="000F60F0">
        <w:rPr>
          <w:rFonts w:ascii="宋体" w:hAnsi="宋体"/>
          <w:szCs w:val="21"/>
        </w:rPr>
        <w:t>993</w:t>
      </w:r>
      <w:r w:rsidRPr="000F60F0">
        <w:rPr>
          <w:rFonts w:ascii="宋体" w:hAnsi="宋体" w:hint="eastAsia"/>
          <w:szCs w:val="21"/>
        </w:rPr>
        <w:t>年建立关于市场资产组合、市值因子、账面市值比的三因子模型，</w:t>
      </w:r>
      <w:r w:rsidRPr="000F60F0">
        <w:rPr>
          <w:rFonts w:ascii="宋体" w:hAnsi="宋体" w:hint="eastAsia"/>
          <w:bCs/>
          <w:kern w:val="44"/>
          <w:szCs w:val="21"/>
        </w:rPr>
        <w:t>该模型在美国股市中得到很好的解释。Griffin</w:t>
      </w:r>
      <w:r>
        <w:rPr>
          <w:rFonts w:ascii="宋体" w:hAnsi="宋体" w:hint="eastAsia"/>
          <w:bCs/>
          <w:kern w:val="44"/>
          <w:szCs w:val="21"/>
          <w:vertAlign w:val="superscript"/>
        </w:rPr>
        <w:t>[1]</w:t>
      </w:r>
      <w:r w:rsidRPr="000F60F0">
        <w:rPr>
          <w:rFonts w:ascii="宋体" w:hAnsi="宋体"/>
          <w:bCs/>
          <w:kern w:val="44"/>
          <w:szCs w:val="21"/>
        </w:rPr>
        <w:t>(2002)</w:t>
      </w:r>
      <w:r w:rsidRPr="000F60F0">
        <w:rPr>
          <w:rFonts w:ascii="宋体" w:hAnsi="宋体" w:hint="eastAsia"/>
          <w:bCs/>
          <w:kern w:val="44"/>
          <w:szCs w:val="21"/>
        </w:rPr>
        <w:t>指出三因子模型对不同国家的股</w:t>
      </w:r>
      <w:r w:rsidRPr="000F60F0">
        <w:rPr>
          <w:rFonts w:ascii="宋体" w:hAnsi="宋体" w:hint="eastAsia"/>
          <w:b/>
          <w:bCs/>
          <w:kern w:val="44"/>
          <w:szCs w:val="21"/>
        </w:rPr>
        <w:t>票</w:t>
      </w:r>
      <w:r w:rsidRPr="000F60F0">
        <w:rPr>
          <w:rFonts w:ascii="宋体" w:hAnsi="宋体" w:hint="eastAsia"/>
          <w:szCs w:val="21"/>
        </w:rPr>
        <w:t>市场的解释能力是不同的，</w:t>
      </w:r>
      <w:proofErr w:type="gramStart"/>
      <w:r w:rsidRPr="000F60F0">
        <w:rPr>
          <w:rFonts w:ascii="宋体" w:hAnsi="宋体" w:hint="eastAsia"/>
          <w:szCs w:val="21"/>
        </w:rPr>
        <w:t>田利辉</w:t>
      </w:r>
      <w:proofErr w:type="gramEnd"/>
      <w:r w:rsidRPr="000F60F0">
        <w:rPr>
          <w:rFonts w:ascii="宋体" w:hAnsi="宋体" w:hint="eastAsia"/>
          <w:szCs w:val="21"/>
        </w:rPr>
        <w:t>等</w:t>
      </w:r>
      <w:r w:rsidRPr="000F60F0">
        <w:rPr>
          <w:rFonts w:ascii="宋体" w:hAnsi="宋体" w:hint="eastAsia"/>
          <w:szCs w:val="21"/>
          <w:vertAlign w:val="superscript"/>
        </w:rPr>
        <w:t>[2]</w:t>
      </w:r>
      <w:r w:rsidRPr="000F60F0">
        <w:rPr>
          <w:rFonts w:ascii="宋体" w:hAnsi="宋体" w:hint="eastAsia"/>
          <w:szCs w:val="21"/>
        </w:rPr>
        <w:t>(</w:t>
      </w:r>
      <w:r w:rsidRPr="000F60F0">
        <w:rPr>
          <w:rFonts w:ascii="宋体" w:hAnsi="宋体"/>
          <w:szCs w:val="21"/>
        </w:rPr>
        <w:t>2014)</w:t>
      </w:r>
      <w:r w:rsidRPr="000F60F0">
        <w:rPr>
          <w:rFonts w:ascii="宋体" w:hAnsi="宋体" w:hint="eastAsia"/>
          <w:szCs w:val="21"/>
        </w:rPr>
        <w:t>指出三因子模型对中美股票市场的适用性是有所差异的。在我国，市盈率、市值、估值等财务因子以及月度反转、月度成交量等量价因子在A股市场曾获得稳健的超额收益，但由于A股市场的风格切换问题，致使传统因子的解释性和有效性受到了考验。</w:t>
      </w:r>
      <w:r w:rsidRPr="000F60F0">
        <w:rPr>
          <w:rFonts w:ascii="宋体" w:hAnsi="宋体" w:cs="Arial"/>
          <w:color w:val="333333"/>
          <w:spacing w:val="9"/>
          <w:szCs w:val="21"/>
          <w:shd w:val="clear" w:color="auto" w:fill="FFFFFF"/>
        </w:rPr>
        <w:t>由于金融时间序列具有非平稳性、非线性、高噪声的特点,传统的统计学模型难以对其</w:t>
      </w:r>
      <w:proofErr w:type="gramStart"/>
      <w:r w:rsidRPr="000F60F0">
        <w:rPr>
          <w:rFonts w:ascii="宋体" w:hAnsi="宋体" w:cs="Arial"/>
          <w:color w:val="333333"/>
          <w:spacing w:val="9"/>
          <w:szCs w:val="21"/>
          <w:shd w:val="clear" w:color="auto" w:fill="FFFFFF"/>
        </w:rPr>
        <w:t>作出</w:t>
      </w:r>
      <w:proofErr w:type="gramEnd"/>
      <w:r w:rsidRPr="000F60F0">
        <w:rPr>
          <w:rFonts w:ascii="宋体" w:hAnsi="宋体" w:cs="Arial"/>
          <w:color w:val="333333"/>
          <w:spacing w:val="9"/>
          <w:szCs w:val="21"/>
          <w:shd w:val="clear" w:color="auto" w:fill="FFFFFF"/>
        </w:rPr>
        <w:t>较高精度的预测。</w:t>
      </w:r>
      <w:r w:rsidRPr="00AD519E">
        <w:rPr>
          <w:rFonts w:ascii="宋体" w:hAnsi="宋体" w:cs="Arial" w:hint="eastAsia"/>
          <w:color w:val="333333"/>
          <w:spacing w:val="9"/>
          <w:szCs w:val="21"/>
          <w:highlight w:val="yellow"/>
          <w:shd w:val="clear" w:color="auto" w:fill="FFFFFF"/>
        </w:rPr>
        <w:t>而神经网络</w:t>
      </w:r>
      <w:r w:rsidRPr="00AD519E">
        <w:rPr>
          <w:rFonts w:ascii="宋体" w:hAnsi="宋体" w:hint="eastAsia"/>
          <w:szCs w:val="21"/>
          <w:highlight w:val="yellow"/>
        </w:rPr>
        <w:t>机器学习算法是一种继常规回归分析之后对股票进行预测的新手段、新方法，机器学习基于它的自我纠正和自我完善的机理能更好的、更为有效地捕捉到股票因子的非线性表达，从而更加敏锐地识别出市场信号，为投资者的分析、决策提供参考。</w:t>
      </w:r>
      <w:r w:rsidRPr="000F60F0">
        <w:rPr>
          <w:rFonts w:ascii="宋体" w:hAnsi="宋体" w:cs="Arial"/>
          <w:color w:val="333333"/>
          <w:spacing w:val="9"/>
          <w:szCs w:val="21"/>
          <w:shd w:val="clear" w:color="auto" w:fill="FFFFFF"/>
        </w:rPr>
        <w:t>其中,LSTM神经网络作为一种新型可实现的</w:t>
      </w:r>
      <w:r w:rsidRPr="000F60F0">
        <w:rPr>
          <w:rFonts w:ascii="宋体" w:hAnsi="宋体" w:cs="Arial" w:hint="eastAsia"/>
          <w:color w:val="333333"/>
          <w:spacing w:val="9"/>
          <w:szCs w:val="21"/>
          <w:shd w:val="clear" w:color="auto" w:fill="FFFFFF"/>
        </w:rPr>
        <w:t>长短时记忆</w:t>
      </w:r>
      <w:r w:rsidRPr="000F60F0">
        <w:rPr>
          <w:rFonts w:ascii="宋体" w:hAnsi="宋体" w:cs="Arial"/>
          <w:color w:val="333333"/>
          <w:spacing w:val="9"/>
          <w:szCs w:val="21"/>
          <w:shd w:val="clear" w:color="auto" w:fill="FFFFFF"/>
        </w:rPr>
        <w:t>神经网络模型,其具备选择性记忆性以及时序内部影响的特性极适用于股票价格时间序列这种类随机的非平稳序列。</w:t>
      </w:r>
    </w:p>
    <w:p w14:paraId="660F98A7" w14:textId="66E923F4" w:rsidR="00FF5BC0" w:rsidRPr="002466B1" w:rsidRDefault="00FF5BC0" w:rsidP="00FF5BC0">
      <w:pPr>
        <w:adjustRightInd w:val="0"/>
        <w:snapToGrid w:val="0"/>
        <w:rPr>
          <w:rFonts w:ascii="宋体" w:hAnsi="宋体"/>
          <w:b/>
          <w:szCs w:val="21"/>
        </w:rPr>
      </w:pPr>
      <w:r>
        <w:rPr>
          <w:rFonts w:ascii="宋体" w:hAnsi="宋体" w:hint="eastAsia"/>
          <w:b/>
          <w:kern w:val="44"/>
          <w:szCs w:val="24"/>
        </w:rPr>
        <w:t>1.</w:t>
      </w:r>
      <w:r w:rsidRPr="002466B1">
        <w:rPr>
          <w:rFonts w:ascii="宋体" w:hAnsi="宋体" w:hint="eastAsia"/>
          <w:b/>
          <w:kern w:val="44"/>
          <w:szCs w:val="24"/>
        </w:rPr>
        <w:t>股价预测模型多因子池的建立</w:t>
      </w:r>
    </w:p>
    <w:p w14:paraId="7F603161" w14:textId="77777777" w:rsidR="00FF5BC0" w:rsidRPr="002466B1" w:rsidRDefault="00FF5BC0" w:rsidP="00FF5BC0">
      <w:pPr>
        <w:adjustRightInd w:val="0"/>
        <w:snapToGrid w:val="0"/>
        <w:rPr>
          <w:rFonts w:ascii="宋体" w:hAnsi="宋体"/>
          <w:b/>
          <w:szCs w:val="21"/>
        </w:rPr>
      </w:pPr>
      <w:r w:rsidRPr="002466B1">
        <w:rPr>
          <w:rFonts w:ascii="宋体" w:hAnsi="宋体" w:hint="eastAsia"/>
          <w:b/>
          <w:szCs w:val="21"/>
        </w:rPr>
        <w:t>1.1股价影响因素</w:t>
      </w:r>
    </w:p>
    <w:p w14:paraId="285359F7" w14:textId="77777777" w:rsidR="00FF5BC0" w:rsidRPr="004B1B00" w:rsidRDefault="00FF5BC0" w:rsidP="00FF5BC0">
      <w:pPr>
        <w:adjustRightInd w:val="0"/>
        <w:snapToGrid w:val="0"/>
        <w:ind w:firstLineChars="200" w:firstLine="420"/>
        <w:rPr>
          <w:rFonts w:ascii="宋体" w:hAnsi="宋体"/>
          <w:szCs w:val="21"/>
          <w:vertAlign w:val="superscript"/>
        </w:rPr>
      </w:pPr>
      <w:r w:rsidRPr="00AD519E">
        <w:rPr>
          <w:rFonts w:ascii="宋体" w:hAnsi="宋体" w:hint="eastAsia"/>
          <w:szCs w:val="21"/>
          <w:highlight w:val="yellow"/>
        </w:rPr>
        <w:t>从定性的角度分析，股价的影响因素有很多。本文大致将其分为4个方面</w:t>
      </w:r>
      <w:r w:rsidRPr="000F60F0">
        <w:rPr>
          <w:rFonts w:ascii="宋体" w:hAnsi="宋体" w:hint="eastAsia"/>
          <w:szCs w:val="21"/>
        </w:rPr>
        <w:t>。</w:t>
      </w:r>
    </w:p>
    <w:p w14:paraId="20AF18A6" w14:textId="77777777" w:rsidR="00FF5BC0" w:rsidRPr="000F60F0" w:rsidRDefault="00FF5BC0" w:rsidP="00FF5BC0">
      <w:pPr>
        <w:adjustRightInd w:val="0"/>
        <w:snapToGrid w:val="0"/>
        <w:rPr>
          <w:rFonts w:ascii="宋体" w:hAnsi="宋体"/>
          <w:szCs w:val="21"/>
        </w:rPr>
      </w:pPr>
      <w:r>
        <w:rPr>
          <w:rFonts w:ascii="宋体" w:hAnsi="宋体" w:hint="eastAsia"/>
          <w:szCs w:val="21"/>
        </w:rPr>
        <w:t>1.1.1</w:t>
      </w:r>
      <w:r w:rsidRPr="004B1B00">
        <w:rPr>
          <w:rFonts w:ascii="宋体" w:hAnsi="宋体" w:hint="eastAsia"/>
          <w:szCs w:val="21"/>
        </w:rPr>
        <w:t>宏观经济政策</w:t>
      </w:r>
    </w:p>
    <w:p w14:paraId="78514974" w14:textId="77777777"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宏观经济政策方面的指标众多且不好量化，很难深入研究和分析宏观经济环境和政府调控政策调节中国股票市场效果的影响。而本文通过研究发现宏观经济政策对股价的影响是可以通过基本面指标和技术面指标体现出来因此，本文在对选择影响股价波动的因子时不会再对此部分进行赘述。</w:t>
      </w:r>
    </w:p>
    <w:p w14:paraId="617BED56" w14:textId="77777777" w:rsidR="00FF5BC0" w:rsidRPr="000F60F0" w:rsidRDefault="00FF5BC0" w:rsidP="00FF5BC0">
      <w:pPr>
        <w:adjustRightInd w:val="0"/>
        <w:snapToGrid w:val="0"/>
        <w:rPr>
          <w:rFonts w:ascii="宋体" w:hAnsi="宋体"/>
          <w:szCs w:val="21"/>
        </w:rPr>
      </w:pPr>
      <w:r>
        <w:rPr>
          <w:rFonts w:ascii="宋体" w:hAnsi="宋体" w:hint="eastAsia"/>
          <w:szCs w:val="21"/>
        </w:rPr>
        <w:t>1.1.2</w:t>
      </w:r>
      <w:r w:rsidRPr="000F60F0">
        <w:rPr>
          <w:rFonts w:ascii="宋体" w:hAnsi="宋体" w:hint="eastAsia"/>
          <w:szCs w:val="21"/>
        </w:rPr>
        <w:t>上市公司因素</w:t>
      </w:r>
    </w:p>
    <w:p w14:paraId="6A4CE25E" w14:textId="77777777" w:rsidR="00FF5BC0" w:rsidRPr="000F60F0" w:rsidRDefault="00FF5BC0" w:rsidP="00FF5BC0">
      <w:pPr>
        <w:adjustRightInd w:val="0"/>
        <w:snapToGrid w:val="0"/>
        <w:ind w:firstLineChars="200" w:firstLine="420"/>
        <w:rPr>
          <w:rFonts w:ascii="宋体" w:hAnsi="宋体"/>
          <w:szCs w:val="21"/>
        </w:rPr>
      </w:pPr>
      <w:r w:rsidRPr="004B1B00">
        <w:rPr>
          <w:rFonts w:ascii="宋体" w:hAnsi="宋体" w:hint="eastAsia"/>
          <w:szCs w:val="21"/>
        </w:rPr>
        <w:lastRenderedPageBreak/>
        <w:t>上市公司因素就是公司的基本面</w:t>
      </w:r>
      <w:r w:rsidRPr="000F60F0">
        <w:rPr>
          <w:rFonts w:ascii="宋体" w:hAnsi="宋体" w:hint="eastAsia"/>
          <w:szCs w:val="21"/>
        </w:rPr>
        <w:t>，</w:t>
      </w:r>
      <w:r w:rsidRPr="000F60F0">
        <w:rPr>
          <w:rFonts w:ascii="宋体" w:hAnsi="宋体"/>
          <w:szCs w:val="21"/>
        </w:rPr>
        <w:t>从长期来看，有效证券市场上股票的价格是围绕其内在价值波动的。</w:t>
      </w:r>
      <w:r w:rsidRPr="000F60F0">
        <w:rPr>
          <w:rFonts w:ascii="宋体" w:hAnsi="宋体" w:hint="eastAsia"/>
          <w:szCs w:val="21"/>
        </w:rPr>
        <w:t>因此对公司的估值研究对预测股价的变动起着非常大的作用。根据公司经典估值理论，上市公司股票估值通常分为绝对估值法</w:t>
      </w:r>
      <w:r>
        <w:rPr>
          <w:rFonts w:ascii="宋体" w:hAnsi="宋体" w:hint="eastAsia"/>
          <w:szCs w:val="21"/>
          <w:vertAlign w:val="superscript"/>
        </w:rPr>
        <w:t>[3]</w:t>
      </w:r>
      <w:r w:rsidRPr="000F60F0">
        <w:rPr>
          <w:rFonts w:ascii="宋体" w:hAnsi="宋体" w:hint="eastAsia"/>
          <w:szCs w:val="21"/>
        </w:rPr>
        <w:t>、相对估值法</w:t>
      </w:r>
      <w:r>
        <w:rPr>
          <w:rFonts w:ascii="宋体" w:hAnsi="宋体" w:hint="eastAsia"/>
          <w:szCs w:val="21"/>
          <w:vertAlign w:val="superscript"/>
        </w:rPr>
        <w:t>[4]</w:t>
      </w:r>
      <w:r w:rsidRPr="000F60F0">
        <w:rPr>
          <w:rFonts w:ascii="宋体" w:hAnsi="宋体" w:hint="eastAsia"/>
          <w:szCs w:val="21"/>
        </w:rPr>
        <w:t>（比值法）。</w:t>
      </w:r>
    </w:p>
    <w:p w14:paraId="22952018" w14:textId="77777777" w:rsidR="00FF5BC0" w:rsidRDefault="00FF5BC0" w:rsidP="00FF5BC0">
      <w:pPr>
        <w:adjustRightInd w:val="0"/>
        <w:snapToGrid w:val="0"/>
        <w:ind w:firstLineChars="200" w:firstLine="420"/>
        <w:rPr>
          <w:rFonts w:ascii="宋体" w:hAnsi="宋体"/>
          <w:szCs w:val="21"/>
        </w:rPr>
      </w:pPr>
      <w:r w:rsidRPr="000F60F0">
        <w:rPr>
          <w:rFonts w:ascii="宋体" w:hAnsi="宋体" w:hint="eastAsia"/>
          <w:szCs w:val="21"/>
        </w:rPr>
        <w:t>对于中国股票市场而言，很多上市公司到年末并不会进行股利分配</w:t>
      </w:r>
      <w:r>
        <w:rPr>
          <w:rFonts w:ascii="宋体" w:hAnsi="宋体" w:hint="eastAsia"/>
          <w:szCs w:val="21"/>
          <w:vertAlign w:val="superscript"/>
        </w:rPr>
        <w:t>[5</w:t>
      </w:r>
      <w:r w:rsidRPr="000F60F0">
        <w:rPr>
          <w:rFonts w:ascii="宋体" w:hAnsi="宋体" w:hint="eastAsia"/>
          <w:szCs w:val="21"/>
          <w:vertAlign w:val="superscript"/>
        </w:rPr>
        <w:t>]</w:t>
      </w:r>
      <w:r w:rsidRPr="000F60F0">
        <w:rPr>
          <w:rFonts w:ascii="宋体" w:hAnsi="宋体" w:hint="eastAsia"/>
          <w:szCs w:val="21"/>
        </w:rPr>
        <w:t>，因此目前更为主流的是自由现金流法。公式可以表示为：</w:t>
      </w:r>
    </w:p>
    <w:p w14:paraId="5484B9C5" w14:textId="77777777" w:rsidR="00FF5BC0" w:rsidRDefault="00FF5BC0" w:rsidP="00FF5BC0">
      <w:pPr>
        <w:adjustRightInd w:val="0"/>
        <w:snapToGrid w:val="0"/>
        <w:ind w:firstLineChars="1400" w:firstLine="2940"/>
        <w:jc w:val="left"/>
        <w:rPr>
          <w:rFonts w:ascii="宋体" w:hAnsi="宋体"/>
          <w:szCs w:val="21"/>
        </w:rPr>
      </w:pPr>
    </w:p>
    <w:p w14:paraId="4DFCFA6E" w14:textId="2A2AAB32" w:rsidR="00FF5BC0" w:rsidRPr="000F60F0" w:rsidRDefault="00FF5BC0" w:rsidP="00FF5BC0">
      <w:pPr>
        <w:adjustRightInd w:val="0"/>
        <w:snapToGrid w:val="0"/>
        <w:ind w:firstLineChars="600" w:firstLine="1260"/>
        <w:rPr>
          <w:rFonts w:ascii="宋体" w:hAnsi="宋体"/>
          <w:szCs w:val="21"/>
        </w:rPr>
      </w:pPr>
      <w:r w:rsidRPr="0044337B">
        <w:rPr>
          <w:position w:val="-28"/>
        </w:rPr>
        <w:object w:dxaOrig="1440" w:dyaOrig="680" w14:anchorId="606A3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4pt" o:ole="">
            <v:imagedata r:id="rId8" o:title=""/>
          </v:shape>
          <o:OLEObject Type="Embed" ProgID="Equation.DSMT4" ShapeID="_x0000_i1025" DrawAspect="Content" ObjectID="_1620577074" r:id="rId9"/>
        </w:object>
      </w:r>
      <w:r>
        <w:t>，</w:t>
      </w:r>
      <w:r>
        <w:rPr>
          <w:rFonts w:ascii="宋体" w:hAnsi="宋体"/>
          <w:szCs w:val="21"/>
        </w:rPr>
        <w:t>（1）</w:t>
      </w:r>
    </w:p>
    <w:p w14:paraId="7D203343" w14:textId="77777777" w:rsidR="00FF5BC0" w:rsidRPr="000F60F0" w:rsidRDefault="00FF5BC0" w:rsidP="00FF5BC0">
      <w:pPr>
        <w:adjustRightInd w:val="0"/>
        <w:snapToGrid w:val="0"/>
        <w:rPr>
          <w:rFonts w:ascii="宋体" w:hAnsi="宋体"/>
          <w:szCs w:val="21"/>
        </w:rPr>
      </w:pPr>
      <w:r w:rsidRPr="000F60F0">
        <w:rPr>
          <w:rFonts w:ascii="宋体" w:hAnsi="宋体" w:hint="eastAsia"/>
          <w:szCs w:val="21"/>
        </w:rPr>
        <w:t>其中，</w:t>
      </w:r>
      <m:oMath>
        <m:r>
          <m:rPr>
            <m:sty m:val="p"/>
          </m:rPr>
          <w:rPr>
            <w:rFonts w:ascii="Cambria Math" w:hAnsi="Cambria Math"/>
            <w:szCs w:val="21"/>
          </w:rPr>
          <m:t>V</m:t>
        </m:r>
      </m:oMath>
      <w:r w:rsidRPr="000F60F0">
        <w:rPr>
          <w:rFonts w:ascii="宋体" w:hAnsi="宋体" w:hint="eastAsia"/>
          <w:szCs w:val="21"/>
        </w:rPr>
        <w:t>表示股票的内在价值，</w:t>
      </w:r>
      <m:oMath>
        <m:sSub>
          <m:sSubPr>
            <m:ctrlPr>
              <w:rPr>
                <w:rFonts w:ascii="Cambria Math" w:hAnsi="Cambria Math"/>
                <w:i/>
                <w:szCs w:val="21"/>
              </w:rPr>
            </m:ctrlPr>
          </m:sSubPr>
          <m:e>
            <m:r>
              <w:rPr>
                <w:rFonts w:ascii="Cambria Math" w:hAnsi="Cambria Math"/>
                <w:szCs w:val="21"/>
              </w:rPr>
              <m:t>CF</m:t>
            </m:r>
          </m:e>
          <m:sub>
            <m:r>
              <w:rPr>
                <w:rFonts w:ascii="Cambria Math" w:hAnsi="Cambria Math" w:hint="eastAsia"/>
                <w:szCs w:val="21"/>
              </w:rPr>
              <m:t>t</m:t>
            </m:r>
          </m:sub>
        </m:sSub>
      </m:oMath>
      <w:r w:rsidRPr="000F60F0">
        <w:rPr>
          <w:rFonts w:ascii="宋体" w:hAnsi="宋体" w:hint="eastAsia"/>
          <w:szCs w:val="21"/>
        </w:rPr>
        <w:t>表示第</w:t>
      </w:r>
      <m:oMath>
        <m:r>
          <w:rPr>
            <w:rFonts w:ascii="Cambria Math" w:hAnsi="Cambria Math" w:hint="eastAsia"/>
            <w:szCs w:val="21"/>
          </w:rPr>
          <m:t>t</m:t>
        </m:r>
      </m:oMath>
      <w:r w:rsidRPr="000F60F0">
        <w:rPr>
          <w:rFonts w:ascii="宋体" w:hAnsi="宋体" w:hint="eastAsia"/>
          <w:szCs w:val="21"/>
        </w:rPr>
        <w:t>年的企业资产带来的现金流，</w:t>
      </w:r>
      <m:oMath>
        <m:r>
          <w:rPr>
            <w:rFonts w:ascii="Cambria Math" w:hAnsi="Cambria Math"/>
            <w:szCs w:val="21"/>
          </w:rPr>
          <m:t>r</m:t>
        </m:r>
      </m:oMath>
      <w:r w:rsidRPr="000F60F0">
        <w:rPr>
          <w:rFonts w:ascii="宋体" w:hAnsi="宋体" w:hint="eastAsia"/>
          <w:szCs w:val="21"/>
        </w:rPr>
        <w:t>表示</w:t>
      </w:r>
      <w:r w:rsidRPr="000F60F0">
        <w:rPr>
          <w:rFonts w:ascii="宋体" w:hAnsi="宋体"/>
          <w:szCs w:val="21"/>
        </w:rPr>
        <w:t>在一定风险程度下现金流的合适的</w:t>
      </w:r>
      <w:r w:rsidRPr="000F60F0">
        <w:rPr>
          <w:rFonts w:ascii="宋体" w:hAnsi="宋体" w:hint="eastAsia"/>
          <w:szCs w:val="21"/>
        </w:rPr>
        <w:t>贴现率。</w:t>
      </w:r>
    </w:p>
    <w:p w14:paraId="575B815B" w14:textId="77777777"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企业的现金流来源分为经营、投资和筹资，因此本文选取净资产收益率和总资产增长率作为因子来解释股价的波动。风险因素的影响在下文讨论投资者心理因素再作说明。</w:t>
      </w:r>
    </w:p>
    <w:p w14:paraId="6C7E6F2D" w14:textId="26F57666"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相对估值法中，比较常用的几种方式分别是市盈率</w:t>
      </w:r>
      <m:oMath>
        <m:r>
          <m:rPr>
            <m:sty m:val="p"/>
          </m:rPr>
          <w:rPr>
            <w:rFonts w:ascii="Cambria Math" w:hAnsi="Cambria Math"/>
            <w:szCs w:val="21"/>
          </w:rPr>
          <m:t>PE</m:t>
        </m:r>
      </m:oMath>
      <w:r w:rsidRPr="000F60F0">
        <w:rPr>
          <w:rFonts w:ascii="宋体" w:hAnsi="宋体" w:hint="eastAsia"/>
          <w:szCs w:val="21"/>
        </w:rPr>
        <w:t>、</w:t>
      </w:r>
      <w:proofErr w:type="gramStart"/>
      <w:r w:rsidRPr="000F60F0">
        <w:rPr>
          <w:rFonts w:ascii="宋体" w:hAnsi="宋体" w:hint="eastAsia"/>
          <w:szCs w:val="21"/>
        </w:rPr>
        <w:t>市净率</w:t>
      </w:r>
      <w:proofErr w:type="gramEnd"/>
      <m:oMath>
        <m:r>
          <m:rPr>
            <m:sty m:val="p"/>
          </m:rPr>
          <w:rPr>
            <w:rFonts w:ascii="Cambria Math" w:hAnsi="Cambria Math"/>
            <w:szCs w:val="21"/>
          </w:rPr>
          <m:t>PB</m:t>
        </m:r>
      </m:oMath>
      <w:r w:rsidRPr="000F60F0">
        <w:rPr>
          <w:rFonts w:ascii="宋体" w:hAnsi="宋体" w:hint="eastAsia"/>
          <w:szCs w:val="21"/>
        </w:rPr>
        <w:t>等，因此本文选取市盈率，</w:t>
      </w:r>
      <w:proofErr w:type="gramStart"/>
      <w:r w:rsidRPr="000F60F0">
        <w:rPr>
          <w:rFonts w:ascii="宋体" w:hAnsi="宋体" w:hint="eastAsia"/>
          <w:szCs w:val="21"/>
        </w:rPr>
        <w:t>市净率</w:t>
      </w:r>
      <w:proofErr w:type="gramEnd"/>
      <w:r w:rsidRPr="000F60F0">
        <w:rPr>
          <w:rFonts w:ascii="宋体" w:hAnsi="宋体" w:hint="eastAsia"/>
          <w:szCs w:val="21"/>
        </w:rPr>
        <w:t>作为影响股价的一部分因子。</w:t>
      </w:r>
    </w:p>
    <w:p w14:paraId="497BF97F" w14:textId="77777777" w:rsidR="00FF5BC0" w:rsidRPr="000F60F0" w:rsidRDefault="00FF5BC0" w:rsidP="00FF5BC0">
      <w:pPr>
        <w:adjustRightInd w:val="0"/>
        <w:snapToGrid w:val="0"/>
        <w:rPr>
          <w:rFonts w:ascii="宋体" w:hAnsi="宋体"/>
          <w:szCs w:val="21"/>
        </w:rPr>
      </w:pPr>
      <w:r>
        <w:rPr>
          <w:rFonts w:ascii="宋体" w:hAnsi="宋体" w:hint="eastAsia"/>
          <w:szCs w:val="21"/>
        </w:rPr>
        <w:t>1.1.3</w:t>
      </w:r>
      <w:r w:rsidRPr="000F60F0">
        <w:rPr>
          <w:rFonts w:ascii="宋体" w:hAnsi="宋体" w:hint="eastAsia"/>
          <w:szCs w:val="21"/>
        </w:rPr>
        <w:t>市场供求关系</w:t>
      </w:r>
    </w:p>
    <w:p w14:paraId="341F6969" w14:textId="77777777"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市场的供求关系实际上是指技术面分析，技术分析的方法对股价的预测的有效性依赖于三个基本假设：(1)市场行为包容一切信息(2)价格变动是有趋势的。(3)历史会重演。大量实证研究表明一些简单技术分析方法具有可观获利能力。</w:t>
      </w:r>
    </w:p>
    <w:p w14:paraId="341BA6AE" w14:textId="31CBF881"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谢丁</w:t>
      </w:r>
      <w:r>
        <w:rPr>
          <w:rFonts w:ascii="宋体" w:hAnsi="宋体" w:hint="eastAsia"/>
          <w:szCs w:val="21"/>
          <w:vertAlign w:val="superscript"/>
        </w:rPr>
        <w:t>[6</w:t>
      </w:r>
      <w:r w:rsidRPr="000F60F0">
        <w:rPr>
          <w:rFonts w:ascii="宋体" w:hAnsi="宋体" w:hint="eastAsia"/>
          <w:szCs w:val="21"/>
          <w:vertAlign w:val="superscript"/>
        </w:rPr>
        <w:t>]</w:t>
      </w:r>
      <w:r>
        <w:rPr>
          <w:rFonts w:ascii="宋体" w:hAnsi="宋体" w:hint="eastAsia"/>
          <w:szCs w:val="21"/>
          <w:vertAlign w:val="superscript"/>
        </w:rPr>
        <w:t>[7</w:t>
      </w:r>
      <w:r w:rsidRPr="000F60F0">
        <w:rPr>
          <w:rFonts w:ascii="宋体" w:hAnsi="宋体" w:hint="eastAsia"/>
          <w:szCs w:val="21"/>
          <w:vertAlign w:val="superscript"/>
        </w:rPr>
        <w:t>]</w:t>
      </w:r>
      <w:r w:rsidRPr="000F60F0">
        <w:rPr>
          <w:rFonts w:ascii="宋体" w:hAnsi="宋体" w:hint="eastAsia"/>
          <w:szCs w:val="21"/>
        </w:rPr>
        <w:t>以趋向类技术分析指标为研究对象，从实证角度对该类指标进行了测试和评价，认为MA有较好的反映股价的能力，同时以反趋向类技术分析指标为研究对象，从实证角度对该类指标进行了测试和评价，认为波幅型和增幅型反趋向类技术指标与股价的相关度较高，实用价值较大。</w:t>
      </w:r>
      <w:proofErr w:type="gramStart"/>
      <w:r w:rsidRPr="000F60F0">
        <w:rPr>
          <w:rFonts w:ascii="宋体" w:hAnsi="宋体" w:hint="eastAsia"/>
          <w:szCs w:val="21"/>
        </w:rPr>
        <w:t>高玲</w:t>
      </w:r>
      <w:proofErr w:type="gramEnd"/>
      <w:r>
        <w:rPr>
          <w:rFonts w:ascii="宋体" w:hAnsi="宋体" w:hint="eastAsia"/>
          <w:szCs w:val="21"/>
          <w:vertAlign w:val="superscript"/>
        </w:rPr>
        <w:t>[8</w:t>
      </w:r>
      <w:r w:rsidRPr="000F60F0">
        <w:rPr>
          <w:rFonts w:ascii="宋体" w:hAnsi="宋体" w:hint="eastAsia"/>
          <w:szCs w:val="21"/>
          <w:vertAlign w:val="superscript"/>
        </w:rPr>
        <w:t>]</w:t>
      </w:r>
      <w:r w:rsidRPr="000F60F0">
        <w:rPr>
          <w:rFonts w:ascii="宋体" w:hAnsi="宋体" w:hint="eastAsia"/>
          <w:szCs w:val="21"/>
        </w:rPr>
        <w:t>应用股市中三个具有典型意义的技术指标，</w:t>
      </w:r>
      <w:r w:rsidRPr="000F60F0">
        <w:rPr>
          <w:rFonts w:ascii="宋体" w:hAnsi="宋体" w:hint="eastAsia"/>
          <w:szCs w:val="21"/>
        </w:rPr>
        <w:lastRenderedPageBreak/>
        <w:t>RSI，KDJ和5日平均线建立了非线性回归预测模型，对股票的价格走势进行了短期预测，具有较好的解释效果。</w:t>
      </w:r>
    </w:p>
    <w:p w14:paraId="23D62A45" w14:textId="0BDCC7DA" w:rsidR="00FF5BC0" w:rsidRPr="000F60F0" w:rsidRDefault="00FF5BC0" w:rsidP="00FF5BC0">
      <w:pPr>
        <w:adjustRightInd w:val="0"/>
        <w:snapToGrid w:val="0"/>
        <w:ind w:firstLineChars="200" w:firstLine="420"/>
        <w:rPr>
          <w:rFonts w:ascii="宋体" w:hAnsi="宋体"/>
          <w:szCs w:val="21"/>
        </w:rPr>
      </w:pPr>
      <w:r w:rsidRPr="000F60F0">
        <w:rPr>
          <w:rFonts w:ascii="宋体" w:hAnsi="宋体"/>
          <w:szCs w:val="21"/>
        </w:rPr>
        <w:t>指标值的具体数值及其相互间的关系，直接反映股市所处的状态，为我们研究股票的价格提供了指导。</w:t>
      </w:r>
      <w:r w:rsidRPr="000F60F0">
        <w:rPr>
          <w:rFonts w:ascii="宋体" w:hAnsi="宋体" w:hint="eastAsia"/>
          <w:szCs w:val="21"/>
        </w:rPr>
        <w:t>通过对前人的对股价预测研究所用到的技术指标进行分析</w:t>
      </w:r>
      <w:r w:rsidRPr="000F60F0">
        <w:rPr>
          <w:rFonts w:ascii="宋体" w:hAnsi="宋体"/>
          <w:szCs w:val="21"/>
        </w:rPr>
        <w:t>下面介绍本文中用到的一些技术指标。</w:t>
      </w:r>
      <w:r w:rsidRPr="000F60F0">
        <w:rPr>
          <w:rFonts w:ascii="宋体" w:hAnsi="宋体" w:hint="eastAsia"/>
          <w:szCs w:val="21"/>
        </w:rPr>
        <w:t>（1）成交量比率（VR）；（</w:t>
      </w:r>
      <w:r w:rsidRPr="000F60F0">
        <w:rPr>
          <w:rFonts w:ascii="宋体" w:hAnsi="宋体"/>
          <w:szCs w:val="21"/>
        </w:rPr>
        <w:t>2</w:t>
      </w:r>
      <w:r w:rsidRPr="000F60F0">
        <w:rPr>
          <w:rFonts w:ascii="宋体" w:hAnsi="宋体" w:hint="eastAsia"/>
          <w:szCs w:val="21"/>
        </w:rPr>
        <w:t>）相对强弱指标（RSI）；（</w:t>
      </w:r>
      <w:r w:rsidRPr="000F60F0">
        <w:rPr>
          <w:rFonts w:ascii="宋体" w:hAnsi="宋体"/>
          <w:szCs w:val="21"/>
        </w:rPr>
        <w:t>3</w:t>
      </w:r>
      <w:r w:rsidRPr="000F60F0">
        <w:rPr>
          <w:rFonts w:ascii="宋体" w:hAnsi="宋体" w:hint="eastAsia"/>
          <w:szCs w:val="21"/>
        </w:rPr>
        <w:t>）顺势指标（CCI）；（4</w:t>
      </w:r>
      <w:r w:rsidR="004A2F1D">
        <w:rPr>
          <w:rFonts w:ascii="宋体" w:hAnsi="宋体" w:hint="eastAsia"/>
          <w:szCs w:val="21"/>
        </w:rPr>
        <w:t xml:space="preserve">  </w:t>
      </w:r>
      <w:r w:rsidRPr="000F60F0">
        <w:rPr>
          <w:rFonts w:ascii="宋体" w:hAnsi="宋体" w:hint="eastAsia"/>
          <w:szCs w:val="21"/>
        </w:rPr>
        <w:t>）简单移动平均线（SMA）</w:t>
      </w:r>
    </w:p>
    <w:p w14:paraId="6A20505C" w14:textId="77777777" w:rsidR="00FF5BC0" w:rsidRPr="000F60F0" w:rsidRDefault="00FF5BC0" w:rsidP="00FF5BC0">
      <w:pPr>
        <w:adjustRightInd w:val="0"/>
        <w:snapToGrid w:val="0"/>
        <w:rPr>
          <w:rFonts w:ascii="宋体" w:hAnsi="宋体"/>
          <w:szCs w:val="21"/>
        </w:rPr>
      </w:pPr>
      <w:r>
        <w:rPr>
          <w:rFonts w:ascii="宋体" w:hAnsi="宋体" w:hint="eastAsia"/>
          <w:szCs w:val="21"/>
        </w:rPr>
        <w:t>1.1.4</w:t>
      </w:r>
      <w:r w:rsidRPr="000F60F0">
        <w:rPr>
          <w:rFonts w:ascii="宋体" w:hAnsi="宋体" w:hint="eastAsia"/>
          <w:szCs w:val="21"/>
        </w:rPr>
        <w:t>投资者心理因素</w:t>
      </w:r>
    </w:p>
    <w:p w14:paraId="74B7DB92" w14:textId="77777777" w:rsidR="00FF5BC0" w:rsidRPr="000F60F0" w:rsidRDefault="00FF5BC0" w:rsidP="00FF5BC0">
      <w:pPr>
        <w:adjustRightInd w:val="0"/>
        <w:snapToGrid w:val="0"/>
        <w:ind w:firstLineChars="200" w:firstLine="420"/>
        <w:rPr>
          <w:rFonts w:ascii="宋体" w:hAnsi="宋体"/>
          <w:szCs w:val="21"/>
        </w:rPr>
      </w:pPr>
      <w:r w:rsidRPr="000F60F0">
        <w:rPr>
          <w:rFonts w:ascii="宋体" w:hAnsi="宋体" w:hint="eastAsia"/>
          <w:szCs w:val="21"/>
        </w:rPr>
        <w:t>行为金融学把投资行为看成一个心理过程，认为除了股票的基本价值之外，投资者的心理因素和行为特征也会对股票的价格产生重要影响．魏一鸣、范英和汪秉宏</w:t>
      </w:r>
      <w:r>
        <w:rPr>
          <w:rFonts w:ascii="宋体" w:hAnsi="宋体" w:hint="eastAsia"/>
          <w:szCs w:val="21"/>
          <w:vertAlign w:val="superscript"/>
        </w:rPr>
        <w:t>[9</w:t>
      </w:r>
      <w:r w:rsidRPr="000F60F0">
        <w:rPr>
          <w:rFonts w:ascii="宋体" w:hAnsi="宋体" w:hint="eastAsia"/>
          <w:szCs w:val="21"/>
          <w:vertAlign w:val="superscript"/>
        </w:rPr>
        <w:t>]</w:t>
      </w:r>
      <w:r w:rsidRPr="000F60F0">
        <w:rPr>
          <w:rFonts w:ascii="宋体" w:hAnsi="宋体"/>
          <w:szCs w:val="21"/>
        </w:rPr>
        <w:t>在建立了基于元胞自动机的股票市场仿真模型的基础上，运用分形结构特征变量和稳定性变量来刻画股票市场的复杂性特征，</w:t>
      </w:r>
      <w:r w:rsidRPr="000F60F0">
        <w:rPr>
          <w:rFonts w:ascii="宋体" w:hAnsi="宋体" w:hint="eastAsia"/>
          <w:szCs w:val="21"/>
        </w:rPr>
        <w:t>研究表明，股票市场的复杂性特征变量与投资者心理存在着明显的相关关系.投资者情绪受多个方面因素的影响，包括宏观层面，公司基本面和技术面等方面，由于本文在前面已经选取了有关方面的因子，因此在此不做过多重复说明。基于文献综述以及相关财务知识，本文选取佳庆离散指标（CHAIKINVOLATILITY）、心理线指标（PSY）和人气指标（AR）这三个技术面指标来对投资者的心理进行量化。</w:t>
      </w:r>
    </w:p>
    <w:p w14:paraId="4C6F5D6F" w14:textId="77777777" w:rsidR="00FF5BC0" w:rsidRDefault="00FF5BC0" w:rsidP="00FF5BC0">
      <w:pPr>
        <w:adjustRightInd w:val="0"/>
        <w:snapToGrid w:val="0"/>
        <w:ind w:firstLineChars="200" w:firstLine="420"/>
        <w:rPr>
          <w:rFonts w:ascii="宋体" w:hAnsi="宋体"/>
          <w:szCs w:val="21"/>
        </w:rPr>
      </w:pPr>
      <w:r w:rsidRPr="000F60F0">
        <w:rPr>
          <w:rFonts w:ascii="宋体" w:hAnsi="宋体"/>
          <w:szCs w:val="21"/>
        </w:rPr>
        <w:t>综上所述</w:t>
      </w:r>
      <w:r w:rsidRPr="000F60F0">
        <w:rPr>
          <w:rFonts w:ascii="宋体" w:hAnsi="宋体" w:hint="eastAsia"/>
          <w:szCs w:val="21"/>
        </w:rPr>
        <w:t>，构建的因子池中的因子分别为：成交量比率、相对强弱指标、顺势指标、移动平均线</w:t>
      </w:r>
      <w:r w:rsidRPr="000F60F0">
        <w:rPr>
          <w:rFonts w:ascii="宋体" w:hAnsi="宋体"/>
          <w:szCs w:val="21"/>
        </w:rPr>
        <w:t>、</w:t>
      </w:r>
      <w:r w:rsidRPr="000F60F0">
        <w:rPr>
          <w:rFonts w:ascii="宋体" w:hAnsi="宋体" w:hint="eastAsia"/>
          <w:szCs w:val="21"/>
        </w:rPr>
        <w:t>总资产增长率、净资产收益率、流通市值、市盈率、</w:t>
      </w:r>
      <w:proofErr w:type="gramStart"/>
      <w:r w:rsidRPr="000F60F0">
        <w:rPr>
          <w:rFonts w:ascii="宋体" w:hAnsi="宋体" w:hint="eastAsia"/>
          <w:szCs w:val="21"/>
        </w:rPr>
        <w:t>市净率</w:t>
      </w:r>
      <w:proofErr w:type="gramEnd"/>
      <w:r w:rsidRPr="000F60F0">
        <w:rPr>
          <w:rFonts w:ascii="宋体" w:hAnsi="宋体" w:hint="eastAsia"/>
          <w:szCs w:val="21"/>
        </w:rPr>
        <w:t>、市销率、佳庆离散指标</w:t>
      </w:r>
      <w:r w:rsidRPr="000F60F0">
        <w:rPr>
          <w:rFonts w:ascii="宋体" w:hAnsi="宋体"/>
          <w:szCs w:val="21"/>
        </w:rPr>
        <w:t>、</w:t>
      </w:r>
      <w:r w:rsidRPr="000F60F0">
        <w:rPr>
          <w:rFonts w:ascii="宋体" w:hAnsi="宋体" w:hint="eastAsia"/>
          <w:szCs w:val="21"/>
        </w:rPr>
        <w:t>心理线指标、人气指标。</w:t>
      </w:r>
    </w:p>
    <w:p w14:paraId="35A1D6D2" w14:textId="77777777" w:rsidR="00AD3EE0" w:rsidRPr="002466B1" w:rsidRDefault="00AD3EE0" w:rsidP="00AD3EE0">
      <w:pPr>
        <w:adjustRightInd w:val="0"/>
        <w:snapToGrid w:val="0"/>
        <w:rPr>
          <w:rFonts w:ascii="宋体" w:hAnsi="宋体"/>
          <w:b/>
          <w:szCs w:val="21"/>
        </w:rPr>
      </w:pPr>
      <w:r>
        <w:rPr>
          <w:rFonts w:ascii="宋体" w:hAnsi="宋体" w:hint="eastAsia"/>
          <w:b/>
          <w:szCs w:val="21"/>
        </w:rPr>
        <w:t>1.2</w:t>
      </w:r>
      <w:r w:rsidRPr="002466B1">
        <w:rPr>
          <w:rFonts w:ascii="宋体" w:hAnsi="宋体" w:hint="eastAsia"/>
          <w:b/>
          <w:szCs w:val="21"/>
        </w:rPr>
        <w:t>因子筛选模型的建立</w:t>
      </w:r>
    </w:p>
    <w:p w14:paraId="1CBB0D5C" w14:textId="77777777"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根据上文选取的含有13个因子的因子池，本文对因子池中的因子进行初步筛选，把具有相同作用、共线性的因子筛除，利用剩下的因子构建股票预测模型，我们利用多元线性回归的方法，对因子池的13个因子建立多元线性回归方程，利用多元线性回归系数的检验，对因子池的13个因子进行共线</w:t>
      </w:r>
      <w:proofErr w:type="gramStart"/>
      <w:r w:rsidRPr="000F60F0">
        <w:rPr>
          <w:rFonts w:ascii="宋体" w:hAnsi="宋体" w:hint="eastAsia"/>
          <w:szCs w:val="21"/>
        </w:rPr>
        <w:t>性初步</w:t>
      </w:r>
      <w:proofErr w:type="gramEnd"/>
      <w:r w:rsidRPr="000F60F0">
        <w:rPr>
          <w:rFonts w:ascii="宋体" w:hAnsi="宋体" w:hint="eastAsia"/>
          <w:szCs w:val="21"/>
        </w:rPr>
        <w:t>筛选，建立的回归数学模型如下：</w:t>
      </w:r>
    </w:p>
    <w:p w14:paraId="4EFC3872" w14:textId="5849E52A" w:rsidR="00AD3EE0" w:rsidRPr="000F60F0" w:rsidRDefault="00AD3EE0" w:rsidP="00AD3EE0">
      <w:pPr>
        <w:adjustRightInd w:val="0"/>
        <w:snapToGrid w:val="0"/>
        <w:ind w:firstLineChars="200" w:firstLine="420"/>
        <w:jc w:val="left"/>
        <w:rPr>
          <w:rFonts w:ascii="宋体" w:hAnsi="宋体"/>
          <w:szCs w:val="21"/>
        </w:rPr>
      </w:pPr>
      <w:r w:rsidRPr="000F60F0">
        <w:rPr>
          <w:rFonts w:ascii="宋体" w:hAnsi="宋体"/>
          <w:position w:val="-12"/>
          <w:szCs w:val="21"/>
        </w:rPr>
        <w:object w:dxaOrig="2920" w:dyaOrig="360" w14:anchorId="2C618E6E">
          <v:shape id="_x0000_i1026" type="#_x0000_t75" style="width:145.75pt;height:18.15pt" o:ole="">
            <v:imagedata r:id="rId10" o:title=""/>
          </v:shape>
          <o:OLEObject Type="Embed" ProgID="Equation.DSMT4" ShapeID="_x0000_i1026" DrawAspect="Content" ObjectID="_1620577075" r:id="rId11"/>
        </w:object>
      </w:r>
      <w:r>
        <w:rPr>
          <w:rFonts w:ascii="宋体" w:hAnsi="宋体"/>
          <w:szCs w:val="21"/>
        </w:rPr>
        <w:t>，</w:t>
      </w:r>
      <w:r>
        <w:rPr>
          <w:rFonts w:ascii="宋体" w:hAnsi="宋体" w:hint="eastAsia"/>
          <w:szCs w:val="21"/>
        </w:rPr>
        <w:t>（2）</w:t>
      </w:r>
    </w:p>
    <w:p w14:paraId="3D0E45D4" w14:textId="77777777" w:rsidR="00AD3EE0" w:rsidRPr="000F60F0" w:rsidRDefault="00AD3EE0" w:rsidP="00AD3EE0">
      <w:pPr>
        <w:adjustRightInd w:val="0"/>
        <w:snapToGrid w:val="0"/>
        <w:rPr>
          <w:rFonts w:ascii="宋体" w:hAnsi="宋体"/>
          <w:szCs w:val="21"/>
        </w:rPr>
      </w:pPr>
      <w:r w:rsidRPr="000F60F0">
        <w:rPr>
          <w:rFonts w:ascii="宋体" w:hAnsi="宋体" w:hint="eastAsia"/>
          <w:szCs w:val="21"/>
        </w:rPr>
        <w:t>利用t检验对各个因子进行检验。</w:t>
      </w:r>
    </w:p>
    <w:p w14:paraId="044B524C" w14:textId="77777777" w:rsidR="00AD3EE0" w:rsidRPr="002466B1" w:rsidRDefault="00AD3EE0" w:rsidP="00AD3EE0">
      <w:pPr>
        <w:adjustRightInd w:val="0"/>
        <w:snapToGrid w:val="0"/>
        <w:rPr>
          <w:rFonts w:ascii="宋体" w:hAnsi="宋体"/>
          <w:b/>
          <w:szCs w:val="21"/>
        </w:rPr>
      </w:pPr>
      <w:r>
        <w:rPr>
          <w:rFonts w:ascii="宋体" w:hAnsi="宋体" w:hint="eastAsia"/>
          <w:b/>
          <w:szCs w:val="21"/>
        </w:rPr>
        <w:t>1.3</w:t>
      </w:r>
      <w:r w:rsidRPr="002466B1">
        <w:rPr>
          <w:rFonts w:ascii="宋体" w:hAnsi="宋体" w:hint="eastAsia"/>
          <w:b/>
          <w:szCs w:val="21"/>
        </w:rPr>
        <w:t>因子筛选模型的求解</w:t>
      </w:r>
    </w:p>
    <w:p w14:paraId="58A0EE6C" w14:textId="77777777" w:rsidR="00AD3EE0" w:rsidRDefault="00AD3EE0" w:rsidP="00AD3EE0">
      <w:pPr>
        <w:adjustRightInd w:val="0"/>
        <w:snapToGrid w:val="0"/>
        <w:ind w:firstLineChars="200" w:firstLine="420"/>
        <w:rPr>
          <w:rFonts w:ascii="宋体" w:hAnsi="宋体"/>
          <w:szCs w:val="21"/>
        </w:rPr>
      </w:pPr>
      <w:r w:rsidRPr="000F60F0">
        <w:rPr>
          <w:rFonts w:ascii="宋体" w:hAnsi="宋体" w:hint="eastAsia"/>
          <w:szCs w:val="21"/>
        </w:rPr>
        <w:t>通过SPSS的线性回归分析，将因子池中13个因子导入作为自变量，以股价作为因变量，进行线性回归分析，线性回归分析结果如表1所示。</w:t>
      </w:r>
    </w:p>
    <w:p w14:paraId="30E783A5" w14:textId="25E96289" w:rsidR="00AD3EE0" w:rsidRPr="00431344" w:rsidRDefault="00AD3EE0" w:rsidP="00AD3EE0">
      <w:pPr>
        <w:pStyle w:val="aa"/>
        <w:jc w:val="center"/>
        <w:rPr>
          <w:rFonts w:ascii="宋体" w:eastAsia="宋体" w:hAnsi="宋体"/>
          <w:sz w:val="21"/>
          <w:szCs w:val="21"/>
        </w:rPr>
      </w:pPr>
      <w:r w:rsidRPr="000F60F0">
        <w:rPr>
          <w:rFonts w:ascii="宋体" w:eastAsia="宋体" w:hAnsi="宋体"/>
          <w:sz w:val="21"/>
          <w:szCs w:val="21"/>
        </w:rPr>
        <w:t>表</w:t>
      </w:r>
      <w:r w:rsidRPr="000F60F0">
        <w:rPr>
          <w:rFonts w:ascii="宋体" w:eastAsia="宋体" w:hAnsi="宋体"/>
          <w:sz w:val="21"/>
          <w:szCs w:val="21"/>
        </w:rPr>
        <w:fldChar w:fldCharType="begin"/>
      </w:r>
      <w:r w:rsidRPr="000F60F0">
        <w:rPr>
          <w:rFonts w:ascii="宋体" w:eastAsia="宋体" w:hAnsi="宋体"/>
          <w:sz w:val="21"/>
          <w:szCs w:val="21"/>
        </w:rPr>
        <w:instrText xml:space="preserve"> SEQ 图表 \* ARABIC </w:instrText>
      </w:r>
      <w:r w:rsidRPr="000F60F0">
        <w:rPr>
          <w:rFonts w:ascii="宋体" w:eastAsia="宋体" w:hAnsi="宋体"/>
          <w:sz w:val="21"/>
          <w:szCs w:val="21"/>
        </w:rPr>
        <w:fldChar w:fldCharType="separate"/>
      </w:r>
      <w:r>
        <w:rPr>
          <w:rFonts w:ascii="宋体" w:eastAsia="宋体" w:hAnsi="宋体"/>
          <w:noProof/>
          <w:sz w:val="21"/>
          <w:szCs w:val="21"/>
        </w:rPr>
        <w:t>1</w:t>
      </w:r>
      <w:r w:rsidRPr="000F60F0">
        <w:rPr>
          <w:rFonts w:ascii="宋体" w:eastAsia="宋体" w:hAnsi="宋体"/>
          <w:sz w:val="21"/>
          <w:szCs w:val="21"/>
        </w:rPr>
        <w:fldChar w:fldCharType="end"/>
      </w:r>
      <w:r w:rsidRPr="000F60F0">
        <w:rPr>
          <w:rFonts w:ascii="宋体" w:eastAsia="宋体" w:hAnsi="宋体" w:hint="eastAsia"/>
          <w:sz w:val="21"/>
          <w:szCs w:val="21"/>
        </w:rPr>
        <w:t>线性回归分析结果（部分）</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846"/>
        <w:gridCol w:w="846"/>
      </w:tblGrid>
      <w:tr w:rsidR="00AD3EE0" w:rsidRPr="00476D80" w14:paraId="17467EE4" w14:textId="77777777" w:rsidTr="00880364">
        <w:trPr>
          <w:trHeight w:val="57"/>
          <w:jc w:val="center"/>
        </w:trPr>
        <w:tc>
          <w:tcPr>
            <w:tcW w:w="0" w:type="auto"/>
            <w:shd w:val="clear" w:color="auto" w:fill="auto"/>
            <w:noWrap/>
            <w:vAlign w:val="bottom"/>
            <w:hideMark/>
          </w:tcPr>
          <w:p w14:paraId="3CB225B0"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lastRenderedPageBreak/>
              <w:t>模型</w:t>
            </w:r>
          </w:p>
        </w:tc>
        <w:tc>
          <w:tcPr>
            <w:tcW w:w="0" w:type="auto"/>
            <w:shd w:val="clear" w:color="auto" w:fill="auto"/>
            <w:noWrap/>
            <w:vAlign w:val="bottom"/>
            <w:hideMark/>
          </w:tcPr>
          <w:p w14:paraId="195C9520"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0FD1AB58"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t</w:t>
            </w:r>
          </w:p>
        </w:tc>
        <w:tc>
          <w:tcPr>
            <w:tcW w:w="0" w:type="auto"/>
            <w:shd w:val="clear" w:color="auto" w:fill="auto"/>
            <w:noWrap/>
            <w:vAlign w:val="bottom"/>
            <w:hideMark/>
          </w:tcPr>
          <w:p w14:paraId="79A703B7"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显著性</w:t>
            </w:r>
          </w:p>
        </w:tc>
      </w:tr>
      <w:tr w:rsidR="00AD3EE0" w:rsidRPr="00476D80" w14:paraId="0F5A7F60" w14:textId="77777777" w:rsidTr="00880364">
        <w:trPr>
          <w:trHeight w:val="57"/>
          <w:jc w:val="center"/>
        </w:trPr>
        <w:tc>
          <w:tcPr>
            <w:tcW w:w="0" w:type="auto"/>
            <w:shd w:val="clear" w:color="auto" w:fill="auto"/>
            <w:noWrap/>
            <w:vAlign w:val="bottom"/>
            <w:hideMark/>
          </w:tcPr>
          <w:p w14:paraId="067EAA9A"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常量</w:t>
            </w:r>
          </w:p>
        </w:tc>
        <w:tc>
          <w:tcPr>
            <w:tcW w:w="0" w:type="auto"/>
            <w:shd w:val="clear" w:color="auto" w:fill="auto"/>
            <w:noWrap/>
            <w:vAlign w:val="bottom"/>
            <w:hideMark/>
          </w:tcPr>
          <w:p w14:paraId="44638B25"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39DDE2EF"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0.25</w:t>
            </w:r>
          </w:p>
        </w:tc>
        <w:tc>
          <w:tcPr>
            <w:tcW w:w="0" w:type="auto"/>
            <w:shd w:val="clear" w:color="auto" w:fill="auto"/>
            <w:noWrap/>
            <w:vAlign w:val="bottom"/>
            <w:hideMark/>
          </w:tcPr>
          <w:p w14:paraId="1057B229"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0.803</w:t>
            </w:r>
          </w:p>
        </w:tc>
      </w:tr>
      <w:tr w:rsidR="00AD3EE0" w:rsidRPr="00476D80" w14:paraId="777BF6B1" w14:textId="77777777" w:rsidTr="00880364">
        <w:trPr>
          <w:trHeight w:val="57"/>
          <w:jc w:val="center"/>
        </w:trPr>
        <w:tc>
          <w:tcPr>
            <w:tcW w:w="0" w:type="auto"/>
            <w:shd w:val="clear" w:color="auto" w:fill="auto"/>
            <w:noWrap/>
            <w:vAlign w:val="bottom"/>
            <w:hideMark/>
          </w:tcPr>
          <w:p w14:paraId="1DD54D5C"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VR</w:t>
            </w:r>
          </w:p>
        </w:tc>
        <w:tc>
          <w:tcPr>
            <w:tcW w:w="0" w:type="auto"/>
            <w:shd w:val="clear" w:color="auto" w:fill="auto"/>
            <w:noWrap/>
            <w:vAlign w:val="bottom"/>
            <w:hideMark/>
          </w:tcPr>
          <w:p w14:paraId="1B0580D7"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3D2C7758"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3.6</w:t>
            </w:r>
          </w:p>
        </w:tc>
        <w:tc>
          <w:tcPr>
            <w:tcW w:w="0" w:type="auto"/>
            <w:shd w:val="clear" w:color="auto" w:fill="auto"/>
            <w:noWrap/>
            <w:vAlign w:val="bottom"/>
            <w:hideMark/>
          </w:tcPr>
          <w:p w14:paraId="6DEB507E"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w:t>
            </w:r>
          </w:p>
        </w:tc>
      </w:tr>
      <w:tr w:rsidR="00AD3EE0" w:rsidRPr="00476D80" w14:paraId="473158D5" w14:textId="77777777" w:rsidTr="00880364">
        <w:trPr>
          <w:trHeight w:val="57"/>
          <w:jc w:val="center"/>
        </w:trPr>
        <w:tc>
          <w:tcPr>
            <w:tcW w:w="0" w:type="auto"/>
            <w:shd w:val="clear" w:color="auto" w:fill="auto"/>
            <w:noWrap/>
            <w:vAlign w:val="bottom"/>
            <w:hideMark/>
          </w:tcPr>
          <w:p w14:paraId="69B3ED58"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RSI</w:t>
            </w:r>
          </w:p>
        </w:tc>
        <w:tc>
          <w:tcPr>
            <w:tcW w:w="0" w:type="auto"/>
            <w:shd w:val="clear" w:color="auto" w:fill="auto"/>
            <w:noWrap/>
            <w:vAlign w:val="bottom"/>
            <w:hideMark/>
          </w:tcPr>
          <w:p w14:paraId="36A52B5A"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797CE220"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19.446</w:t>
            </w:r>
          </w:p>
        </w:tc>
        <w:tc>
          <w:tcPr>
            <w:tcW w:w="0" w:type="auto"/>
            <w:shd w:val="clear" w:color="auto" w:fill="auto"/>
            <w:noWrap/>
            <w:vAlign w:val="bottom"/>
            <w:hideMark/>
          </w:tcPr>
          <w:p w14:paraId="46FBDBF0"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w:t>
            </w:r>
          </w:p>
        </w:tc>
      </w:tr>
      <w:tr w:rsidR="00AD3EE0" w:rsidRPr="00476D80" w14:paraId="6DFFE877" w14:textId="77777777" w:rsidTr="00880364">
        <w:trPr>
          <w:trHeight w:val="57"/>
          <w:jc w:val="center"/>
        </w:trPr>
        <w:tc>
          <w:tcPr>
            <w:tcW w:w="0" w:type="auto"/>
            <w:shd w:val="clear" w:color="auto" w:fill="auto"/>
            <w:noWrap/>
            <w:vAlign w:val="bottom"/>
            <w:hideMark/>
          </w:tcPr>
          <w:p w14:paraId="4B29CAA1"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CCI5</w:t>
            </w:r>
          </w:p>
        </w:tc>
        <w:tc>
          <w:tcPr>
            <w:tcW w:w="0" w:type="auto"/>
            <w:shd w:val="clear" w:color="auto" w:fill="auto"/>
            <w:noWrap/>
            <w:vAlign w:val="bottom"/>
            <w:hideMark/>
          </w:tcPr>
          <w:p w14:paraId="1D4F67DE"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0A508046"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-6.785</w:t>
            </w:r>
          </w:p>
        </w:tc>
        <w:tc>
          <w:tcPr>
            <w:tcW w:w="0" w:type="auto"/>
            <w:shd w:val="clear" w:color="auto" w:fill="auto"/>
            <w:noWrap/>
            <w:vAlign w:val="bottom"/>
            <w:hideMark/>
          </w:tcPr>
          <w:p w14:paraId="4D55C1FD"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w:t>
            </w:r>
          </w:p>
        </w:tc>
      </w:tr>
      <w:tr w:rsidR="00AD3EE0" w:rsidRPr="00476D80" w14:paraId="433D4265" w14:textId="77777777" w:rsidTr="00880364">
        <w:trPr>
          <w:trHeight w:val="57"/>
          <w:jc w:val="center"/>
        </w:trPr>
        <w:tc>
          <w:tcPr>
            <w:tcW w:w="0" w:type="auto"/>
            <w:shd w:val="clear" w:color="auto" w:fill="auto"/>
            <w:noWrap/>
            <w:vAlign w:val="bottom"/>
            <w:hideMark/>
          </w:tcPr>
          <w:p w14:paraId="0D860A1B"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SMA</w:t>
            </w:r>
          </w:p>
        </w:tc>
        <w:tc>
          <w:tcPr>
            <w:tcW w:w="0" w:type="auto"/>
            <w:shd w:val="clear" w:color="auto" w:fill="auto"/>
            <w:noWrap/>
            <w:vAlign w:val="bottom"/>
            <w:hideMark/>
          </w:tcPr>
          <w:p w14:paraId="6A3E5E6F"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75B9C41A"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72.039</w:t>
            </w:r>
          </w:p>
        </w:tc>
        <w:tc>
          <w:tcPr>
            <w:tcW w:w="0" w:type="auto"/>
            <w:shd w:val="clear" w:color="auto" w:fill="auto"/>
            <w:noWrap/>
            <w:vAlign w:val="bottom"/>
            <w:hideMark/>
          </w:tcPr>
          <w:p w14:paraId="72A51C58"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w:t>
            </w:r>
          </w:p>
        </w:tc>
      </w:tr>
      <w:tr w:rsidR="00AD3EE0" w:rsidRPr="00476D80" w14:paraId="3BF9894B" w14:textId="77777777" w:rsidTr="00880364">
        <w:trPr>
          <w:trHeight w:val="57"/>
          <w:jc w:val="center"/>
        </w:trPr>
        <w:tc>
          <w:tcPr>
            <w:tcW w:w="0" w:type="auto"/>
            <w:shd w:val="clear" w:color="auto" w:fill="auto"/>
            <w:noWrap/>
            <w:vAlign w:val="bottom"/>
            <w:hideMark/>
          </w:tcPr>
          <w:p w14:paraId="20290239"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6046FCE7"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1E610C9A"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0C2D2BE4"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r>
      <w:tr w:rsidR="00AD3EE0" w:rsidRPr="00476D80" w14:paraId="428E7923" w14:textId="77777777" w:rsidTr="00880364">
        <w:trPr>
          <w:trHeight w:val="57"/>
          <w:jc w:val="center"/>
        </w:trPr>
        <w:tc>
          <w:tcPr>
            <w:tcW w:w="0" w:type="auto"/>
            <w:shd w:val="clear" w:color="auto" w:fill="auto"/>
            <w:noWrap/>
            <w:vAlign w:val="bottom"/>
            <w:hideMark/>
          </w:tcPr>
          <w:p w14:paraId="6F14D650"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SV</w:t>
            </w:r>
          </w:p>
        </w:tc>
        <w:tc>
          <w:tcPr>
            <w:tcW w:w="0" w:type="auto"/>
            <w:shd w:val="clear" w:color="auto" w:fill="auto"/>
            <w:noWrap/>
            <w:vAlign w:val="bottom"/>
            <w:hideMark/>
          </w:tcPr>
          <w:p w14:paraId="0D6EB3A0" w14:textId="77777777" w:rsidR="00AD3EE0" w:rsidRPr="00476D80" w:rsidRDefault="00AD3EE0" w:rsidP="00880364">
            <w:pPr>
              <w:widowControl/>
              <w:jc w:val="left"/>
              <w:rPr>
                <w:rFonts w:ascii="宋体" w:hAnsi="宋体" w:cs="宋体"/>
                <w:color w:val="000000"/>
                <w:kern w:val="0"/>
                <w:szCs w:val="21"/>
              </w:rPr>
            </w:pPr>
            <w:r w:rsidRPr="00476D80">
              <w:rPr>
                <w:rFonts w:ascii="宋体" w:hAnsi="宋体" w:cs="宋体" w:hint="eastAsia"/>
                <w:color w:val="000000"/>
                <w:kern w:val="0"/>
                <w:szCs w:val="21"/>
              </w:rPr>
              <w:t>……</w:t>
            </w:r>
          </w:p>
        </w:tc>
        <w:tc>
          <w:tcPr>
            <w:tcW w:w="0" w:type="auto"/>
            <w:shd w:val="clear" w:color="auto" w:fill="auto"/>
            <w:noWrap/>
            <w:vAlign w:val="bottom"/>
            <w:hideMark/>
          </w:tcPr>
          <w:p w14:paraId="6AEDBEA4"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-0.535</w:t>
            </w:r>
          </w:p>
        </w:tc>
        <w:tc>
          <w:tcPr>
            <w:tcW w:w="0" w:type="auto"/>
            <w:shd w:val="clear" w:color="auto" w:fill="auto"/>
            <w:noWrap/>
            <w:vAlign w:val="bottom"/>
            <w:hideMark/>
          </w:tcPr>
          <w:p w14:paraId="3DB7784A" w14:textId="77777777" w:rsidR="00AD3EE0" w:rsidRPr="00476D80" w:rsidRDefault="00AD3EE0" w:rsidP="00880364">
            <w:pPr>
              <w:widowControl/>
              <w:jc w:val="right"/>
              <w:rPr>
                <w:rFonts w:ascii="宋体" w:hAnsi="宋体" w:cs="宋体"/>
                <w:color w:val="000000"/>
                <w:kern w:val="0"/>
                <w:szCs w:val="21"/>
              </w:rPr>
            </w:pPr>
            <w:r w:rsidRPr="00476D80">
              <w:rPr>
                <w:rFonts w:ascii="宋体" w:hAnsi="宋体" w:cs="宋体" w:hint="eastAsia"/>
                <w:color w:val="000000"/>
                <w:kern w:val="0"/>
                <w:szCs w:val="21"/>
              </w:rPr>
              <w:t>0.593</w:t>
            </w:r>
          </w:p>
        </w:tc>
      </w:tr>
    </w:tbl>
    <w:p w14:paraId="6ECA0DC7" w14:textId="528B4D5F" w:rsidR="00AD3EE0" w:rsidRPr="000F60F0" w:rsidRDefault="00AD3EE0" w:rsidP="00AD3EE0">
      <w:pPr>
        <w:adjustRightInd w:val="0"/>
        <w:snapToGrid w:val="0"/>
        <w:rPr>
          <w:rFonts w:ascii="宋体" w:hAnsi="宋体"/>
          <w:szCs w:val="21"/>
        </w:rPr>
      </w:pPr>
      <w:r w:rsidRPr="000F60F0">
        <w:rPr>
          <w:rFonts w:ascii="宋体" w:hAnsi="宋体" w:hint="eastAsia"/>
          <w:szCs w:val="21"/>
        </w:rPr>
        <w:t>从显著性结果来看，我们假定显著性水平为</w:t>
      </w:r>
      <w:r w:rsidRPr="000F60F0">
        <w:rPr>
          <w:rFonts w:ascii="宋体" w:hAnsi="宋体"/>
          <w:position w:val="-6"/>
          <w:szCs w:val="21"/>
        </w:rPr>
        <w:object w:dxaOrig="240" w:dyaOrig="220" w14:anchorId="677EF65F">
          <v:shape id="_x0000_i1027" type="#_x0000_t75" style="width:11.8pt;height:11.25pt" o:ole="">
            <v:imagedata r:id="rId12" o:title=""/>
          </v:shape>
          <o:OLEObject Type="Embed" ProgID="Equation.DSMT4" ShapeID="_x0000_i1027" DrawAspect="Content" ObjectID="_1620577076" r:id="rId13"/>
        </w:object>
      </w:r>
      <w:r w:rsidRPr="000F60F0">
        <w:rPr>
          <w:rFonts w:ascii="宋体" w:hAnsi="宋体" w:hint="eastAsia"/>
          <w:szCs w:val="21"/>
        </w:rPr>
        <w:t>=</w:t>
      </w:r>
      <w:r w:rsidRPr="000F60F0">
        <w:rPr>
          <w:rFonts w:ascii="宋体" w:hAnsi="宋体"/>
          <w:szCs w:val="21"/>
        </w:rPr>
        <w:t>0.1</w:t>
      </w:r>
      <w:r>
        <w:rPr>
          <w:rFonts w:ascii="宋体" w:hAnsi="宋体" w:hint="eastAsia"/>
          <w:szCs w:val="21"/>
        </w:rPr>
        <w:t>，P(H</w:t>
      </w:r>
      <w:r>
        <w:rPr>
          <w:rFonts w:ascii="宋体" w:hAnsi="宋体" w:hint="eastAsia"/>
          <w:szCs w:val="21"/>
          <w:vertAlign w:val="subscript"/>
        </w:rPr>
        <w:t>0</w:t>
      </w:r>
      <w:r>
        <w:rPr>
          <w:rFonts w:ascii="宋体" w:hAnsi="宋体" w:hint="eastAsia"/>
          <w:szCs w:val="21"/>
        </w:rPr>
        <w:t>)&lt;1</w:t>
      </w:r>
      <w:r w:rsidRPr="000F60F0">
        <w:rPr>
          <w:rFonts w:ascii="宋体" w:hAnsi="宋体" w:hint="eastAsia"/>
          <w:szCs w:val="21"/>
        </w:rPr>
        <w:t>的因子有：成交量比率（VR）、相对强弱指标（RSI）、</w:t>
      </w:r>
      <w:r w:rsidRPr="000F60F0">
        <w:rPr>
          <w:rFonts w:ascii="宋体" w:hAnsi="宋体"/>
          <w:szCs w:val="21"/>
        </w:rPr>
        <w:t>5</w:t>
      </w:r>
      <w:r w:rsidRPr="000F60F0">
        <w:rPr>
          <w:rFonts w:ascii="宋体" w:hAnsi="宋体" w:hint="eastAsia"/>
          <w:szCs w:val="21"/>
        </w:rPr>
        <w:t>日顺势指标（CCI</w:t>
      </w:r>
      <w:r w:rsidRPr="000F60F0">
        <w:rPr>
          <w:rFonts w:ascii="宋体" w:hAnsi="宋体"/>
          <w:szCs w:val="21"/>
        </w:rPr>
        <w:t>5</w:t>
      </w:r>
      <w:r w:rsidRPr="000F60F0">
        <w:rPr>
          <w:rFonts w:ascii="宋体" w:hAnsi="宋体" w:hint="eastAsia"/>
          <w:szCs w:val="21"/>
        </w:rPr>
        <w:t>）、简单移动平均线（SMA）、市盈率（PE</w:t>
      </w:r>
      <w:r>
        <w:rPr>
          <w:rFonts w:ascii="宋体" w:hAnsi="宋体" w:hint="eastAsia"/>
          <w:szCs w:val="21"/>
        </w:rPr>
        <w:t>）、</w:t>
      </w:r>
      <w:proofErr w:type="gramStart"/>
      <w:r>
        <w:rPr>
          <w:rFonts w:ascii="宋体" w:hAnsi="宋体" w:hint="eastAsia"/>
          <w:szCs w:val="21"/>
        </w:rPr>
        <w:t>市净率</w:t>
      </w:r>
      <w:proofErr w:type="gramEnd"/>
      <w:r w:rsidRPr="000F60F0">
        <w:rPr>
          <w:rFonts w:ascii="宋体" w:hAnsi="宋体" w:hint="eastAsia"/>
          <w:szCs w:val="21"/>
        </w:rPr>
        <w:t>（PB）、庆佳离散指标（CHAIKINVOLATILITY），这类因子和股价存在线性相关，而</w:t>
      </w:r>
      <w:r>
        <w:rPr>
          <w:rFonts w:ascii="宋体" w:hAnsi="宋体" w:hint="eastAsia"/>
          <w:szCs w:val="21"/>
        </w:rPr>
        <w:t>P(H</w:t>
      </w:r>
      <w:r>
        <w:rPr>
          <w:rFonts w:ascii="宋体" w:hAnsi="宋体" w:hint="eastAsia"/>
          <w:szCs w:val="21"/>
          <w:vertAlign w:val="subscript"/>
        </w:rPr>
        <w:t>0</w:t>
      </w:r>
      <w:r>
        <w:rPr>
          <w:rFonts w:ascii="宋体" w:hAnsi="宋体" w:hint="eastAsia"/>
          <w:szCs w:val="21"/>
        </w:rPr>
        <w:t>)&gt;1</w:t>
      </w:r>
      <w:r w:rsidRPr="000F60F0">
        <w:rPr>
          <w:rFonts w:ascii="宋体" w:hAnsi="宋体" w:hint="eastAsia"/>
          <w:szCs w:val="21"/>
        </w:rPr>
        <w:t>的因子有总资产增长率（</w:t>
      </w:r>
      <w:proofErr w:type="spellStart"/>
      <w:r w:rsidRPr="000F60F0">
        <w:rPr>
          <w:rFonts w:ascii="宋体" w:hAnsi="宋体" w:hint="eastAsia"/>
          <w:szCs w:val="21"/>
        </w:rPr>
        <w:t>TotalAssetGrowRate</w:t>
      </w:r>
      <w:proofErr w:type="spellEnd"/>
      <w:r w:rsidRPr="000F60F0">
        <w:rPr>
          <w:rFonts w:ascii="宋体" w:hAnsi="宋体" w:hint="eastAsia"/>
          <w:szCs w:val="21"/>
        </w:rPr>
        <w:t>）、平均净资产收益率（平均）（</w:t>
      </w:r>
      <w:proofErr w:type="spellStart"/>
      <w:r w:rsidRPr="000F60F0">
        <w:rPr>
          <w:rFonts w:ascii="宋体" w:hAnsi="宋体" w:hint="eastAsia"/>
          <w:szCs w:val="21"/>
        </w:rPr>
        <w:t>ROEA</w:t>
      </w:r>
      <w:r w:rsidRPr="000F60F0">
        <w:rPr>
          <w:rFonts w:ascii="宋体" w:hAnsi="宋体"/>
          <w:szCs w:val="21"/>
        </w:rPr>
        <w:t>vg</w:t>
      </w:r>
      <w:proofErr w:type="spellEnd"/>
      <w:r w:rsidRPr="000F60F0">
        <w:rPr>
          <w:rFonts w:ascii="宋体" w:hAnsi="宋体" w:hint="eastAsia"/>
          <w:szCs w:val="21"/>
        </w:rPr>
        <w:t>）、流通市值（</w:t>
      </w:r>
      <w:proofErr w:type="spellStart"/>
      <w:r w:rsidRPr="000F60F0">
        <w:rPr>
          <w:rFonts w:ascii="宋体" w:hAnsi="宋体" w:hint="eastAsia"/>
          <w:szCs w:val="21"/>
        </w:rPr>
        <w:t>NegMktValue</w:t>
      </w:r>
      <w:proofErr w:type="spellEnd"/>
      <w:r w:rsidRPr="000F60F0">
        <w:rPr>
          <w:rFonts w:ascii="宋体" w:hAnsi="宋体" w:hint="eastAsia"/>
          <w:szCs w:val="21"/>
        </w:rPr>
        <w:t>）、市销率（PS）、心理线指标（PSY）、人气指标（AR），这些因子和股价不存在线性相关。</w:t>
      </w:r>
    </w:p>
    <w:p w14:paraId="587F71DE" w14:textId="77777777"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经过初步筛选，筛选的结果是将13个因子，根据显著性水平</w:t>
      </w:r>
      <w:r w:rsidRPr="000F60F0">
        <w:rPr>
          <w:rFonts w:ascii="宋体" w:hAnsi="宋体"/>
          <w:position w:val="-6"/>
          <w:szCs w:val="21"/>
        </w:rPr>
        <w:object w:dxaOrig="240" w:dyaOrig="220" w14:anchorId="0CBE86F0">
          <v:shape id="_x0000_i1028" type="#_x0000_t75" style="width:11.8pt;height:11.25pt" o:ole="">
            <v:imagedata r:id="rId12" o:title=""/>
          </v:shape>
          <o:OLEObject Type="Embed" ProgID="Equation.DSMT4" ShapeID="_x0000_i1028" DrawAspect="Content" ObjectID="_1620577077" r:id="rId14"/>
        </w:object>
      </w:r>
      <w:r w:rsidRPr="000F60F0">
        <w:rPr>
          <w:rFonts w:ascii="宋体" w:hAnsi="宋体" w:hint="eastAsia"/>
          <w:szCs w:val="21"/>
        </w:rPr>
        <w:t>=</w:t>
      </w:r>
      <w:r w:rsidRPr="000F60F0">
        <w:rPr>
          <w:rFonts w:ascii="宋体" w:hAnsi="宋体"/>
          <w:szCs w:val="21"/>
        </w:rPr>
        <w:t>0.1</w:t>
      </w:r>
      <w:r w:rsidRPr="000F60F0">
        <w:rPr>
          <w:rFonts w:ascii="宋体" w:hAnsi="宋体" w:hint="eastAsia"/>
          <w:szCs w:val="21"/>
        </w:rPr>
        <w:t>，本文把与股价不存在线性相关的因子剔除出因子池，剩下的因子构成新的因子池。</w:t>
      </w:r>
    </w:p>
    <w:p w14:paraId="2C40451D" w14:textId="77777777" w:rsidR="00AD3EE0" w:rsidRDefault="00AD3EE0" w:rsidP="00AD3EE0">
      <w:pPr>
        <w:adjustRightInd w:val="0"/>
        <w:snapToGrid w:val="0"/>
        <w:ind w:firstLineChars="200" w:firstLine="420"/>
        <w:rPr>
          <w:rFonts w:ascii="宋体" w:hAnsi="宋体"/>
          <w:szCs w:val="21"/>
        </w:rPr>
      </w:pPr>
      <w:r w:rsidRPr="000F60F0">
        <w:rPr>
          <w:rFonts w:ascii="宋体" w:hAnsi="宋体" w:hint="eastAsia"/>
          <w:szCs w:val="21"/>
        </w:rPr>
        <w:t>从证券投资学角度看，股价的变动主要被基本面和技术面解释，基本面反映的是行业、公司的基本情况等，技术面反映在技术指标、走势形态以及K线组合等，一般而言，正常的投资行为都是建立在对基本面和技术面的分析上，因此我们可以从技术面和基本面上对以上7个因子进行筛选，本文筛选出来因子分为是反映基本面指标</w:t>
      </w:r>
      <w:proofErr w:type="gramStart"/>
      <w:r w:rsidRPr="000F60F0">
        <w:rPr>
          <w:rFonts w:ascii="宋体" w:hAnsi="宋体" w:hint="eastAsia"/>
          <w:szCs w:val="21"/>
        </w:rPr>
        <w:t>的市净率</w:t>
      </w:r>
      <w:proofErr w:type="gramEnd"/>
      <w:r w:rsidRPr="000F60F0">
        <w:rPr>
          <w:rFonts w:ascii="宋体" w:hAnsi="宋体" w:hint="eastAsia"/>
          <w:szCs w:val="21"/>
        </w:rPr>
        <w:t>（PB）、市盈率（PE）和反映技术面指标的相对强弱指标（RSI）、简单移动平均线（SMA），用于构建股票多因子模型。</w:t>
      </w:r>
    </w:p>
    <w:p w14:paraId="4A531371" w14:textId="77777777" w:rsidR="00AD3EE0" w:rsidRPr="002466B1" w:rsidRDefault="00AD3EE0" w:rsidP="00AD3EE0">
      <w:pPr>
        <w:adjustRightInd w:val="0"/>
        <w:snapToGrid w:val="0"/>
        <w:rPr>
          <w:rFonts w:ascii="宋体" w:hAnsi="宋体"/>
          <w:b/>
          <w:kern w:val="44"/>
          <w:szCs w:val="24"/>
        </w:rPr>
      </w:pPr>
      <w:r>
        <w:rPr>
          <w:rFonts w:ascii="宋体" w:hAnsi="宋体" w:hint="eastAsia"/>
          <w:b/>
          <w:kern w:val="44"/>
          <w:szCs w:val="24"/>
        </w:rPr>
        <w:t>2.</w:t>
      </w:r>
      <w:r w:rsidRPr="002466B1">
        <w:rPr>
          <w:rFonts w:ascii="宋体" w:hAnsi="宋体" w:hint="eastAsia"/>
          <w:b/>
          <w:kern w:val="44"/>
          <w:szCs w:val="24"/>
        </w:rPr>
        <w:t>基于LSTM多因子股价预测模型的建立</w:t>
      </w:r>
    </w:p>
    <w:p w14:paraId="701DA9E5" w14:textId="13AF4F9D" w:rsidR="00AD3EE0" w:rsidRPr="000F60F0" w:rsidRDefault="00AD3EE0" w:rsidP="00AD3EE0">
      <w:pPr>
        <w:adjustRightInd w:val="0"/>
        <w:snapToGrid w:val="0"/>
        <w:ind w:firstLineChars="200" w:firstLine="420"/>
        <w:rPr>
          <w:rFonts w:ascii="宋体" w:hAnsi="宋体"/>
          <w:szCs w:val="21"/>
        </w:rPr>
      </w:pPr>
      <w:r w:rsidRPr="000F60F0">
        <w:rPr>
          <w:rFonts w:ascii="宋体" w:hAnsi="宋体"/>
          <w:szCs w:val="21"/>
        </w:rPr>
        <w:t xml:space="preserve">LSTM (Long Short-Term Memory) </w:t>
      </w:r>
      <w:r>
        <w:rPr>
          <w:rFonts w:ascii="宋体" w:hAnsi="宋体" w:hint="eastAsia"/>
          <w:szCs w:val="21"/>
          <w:vertAlign w:val="superscript"/>
        </w:rPr>
        <w:t>[10</w:t>
      </w:r>
      <w:r w:rsidRPr="000F60F0">
        <w:rPr>
          <w:rFonts w:ascii="宋体" w:hAnsi="宋体" w:hint="eastAsia"/>
          <w:szCs w:val="21"/>
          <w:vertAlign w:val="superscript"/>
        </w:rPr>
        <w:t>]</w:t>
      </w:r>
      <w:r w:rsidRPr="000F60F0">
        <w:rPr>
          <w:rFonts w:ascii="宋体" w:hAnsi="宋体"/>
          <w:szCs w:val="21"/>
        </w:rPr>
        <w:t>是长短期记忆网络, 是一种时间递归神经网络, 适合于处理和预测时间序列中间隔和延迟相对较长的重要事件。</w:t>
      </w:r>
    </w:p>
    <w:p w14:paraId="6EA9535D" w14:textId="2B47E77A" w:rsidR="008E26DC" w:rsidRDefault="00AD3EE0" w:rsidP="0044455C">
      <w:pPr>
        <w:adjustRightInd w:val="0"/>
        <w:snapToGrid w:val="0"/>
        <w:ind w:firstLineChars="200" w:firstLine="420"/>
        <w:rPr>
          <w:rFonts w:ascii="宋体" w:hAnsi="宋体"/>
          <w:szCs w:val="21"/>
        </w:rPr>
      </w:pPr>
      <w:r w:rsidRPr="000F60F0">
        <w:rPr>
          <w:rFonts w:ascii="宋体" w:hAnsi="宋体" w:hint="eastAsia"/>
          <w:szCs w:val="21"/>
        </w:rPr>
        <w:t>考虑到股价之间存在联系，结合长短期记忆网络（LSTM），建立起第一个股价预测模型</w:t>
      </w:r>
      <w:r w:rsidR="008E26DC">
        <w:rPr>
          <w:rFonts w:ascii="宋体" w:hAnsi="宋体" w:hint="eastAsia"/>
          <w:szCs w:val="21"/>
        </w:rPr>
        <w:t>，</w:t>
      </w:r>
    </w:p>
    <w:p w14:paraId="78EFFFB9" w14:textId="36D5534B" w:rsidR="008E26DC" w:rsidRDefault="008E26DC" w:rsidP="008E26DC">
      <w:pPr>
        <w:adjustRightInd w:val="0"/>
        <w:snapToGrid w:val="0"/>
        <w:rPr>
          <w:rFonts w:ascii="宋体" w:hAnsi="宋体"/>
          <w:szCs w:val="21"/>
        </w:rPr>
      </w:pPr>
      <w:r w:rsidRPr="000F60F0">
        <w:rPr>
          <w:rFonts w:ascii="宋体" w:hAnsi="宋体" w:hint="eastAsia"/>
          <w:szCs w:val="21"/>
        </w:rPr>
        <w:t>其运行逻辑关系如图</w:t>
      </w:r>
      <w:r>
        <w:rPr>
          <w:rFonts w:ascii="宋体" w:hAnsi="宋体" w:hint="eastAsia"/>
          <w:szCs w:val="21"/>
        </w:rPr>
        <w:t>2</w:t>
      </w:r>
      <w:r w:rsidRPr="000F60F0">
        <w:rPr>
          <w:rFonts w:ascii="宋体" w:hAnsi="宋体" w:hint="eastAsia"/>
          <w:szCs w:val="21"/>
        </w:rPr>
        <w:t>所示</w:t>
      </w:r>
      <w:r>
        <w:rPr>
          <w:rFonts w:ascii="宋体" w:hAnsi="宋体" w:hint="eastAsia"/>
          <w:szCs w:val="21"/>
        </w:rPr>
        <w:t>：</w:t>
      </w:r>
    </w:p>
    <w:p w14:paraId="5A52355E" w14:textId="10D8320F" w:rsidR="00AD3EE0" w:rsidRDefault="0044455C" w:rsidP="008E26DC">
      <w:pPr>
        <w:adjustRightInd w:val="0"/>
        <w:snapToGrid w:val="0"/>
        <w:jc w:val="center"/>
        <w:rPr>
          <w:rFonts w:ascii="宋体" w:hAnsi="宋体"/>
          <w:szCs w:val="21"/>
        </w:rPr>
      </w:pPr>
      <w:r w:rsidRPr="000F60F0">
        <w:rPr>
          <w:rFonts w:ascii="宋体" w:hAnsi="宋体"/>
          <w:szCs w:val="21"/>
        </w:rPr>
        <w:object w:dxaOrig="7936" w:dyaOrig="3571" w14:anchorId="68B82617">
          <v:shape id="_x0000_i1029" type="#_x0000_t75" style="width:165pt;height:86.7pt" o:ole="">
            <v:imagedata r:id="rId15" o:title=""/>
          </v:shape>
          <o:OLEObject Type="Embed" ProgID="Visio.Drawing.15" ShapeID="_x0000_i1029" DrawAspect="Content" ObjectID="_1620577078" r:id="rId16"/>
        </w:object>
      </w:r>
    </w:p>
    <w:p w14:paraId="62E5D695" w14:textId="7163C8B9" w:rsidR="008E26DC" w:rsidRPr="008E26DC" w:rsidRDefault="008E26DC" w:rsidP="008E26DC">
      <w:pPr>
        <w:pStyle w:val="aa"/>
        <w:jc w:val="center"/>
        <w:rPr>
          <w:rFonts w:ascii="宋体" w:eastAsia="宋体" w:hAnsi="宋体"/>
          <w:sz w:val="21"/>
          <w:szCs w:val="21"/>
        </w:rPr>
      </w:pPr>
      <w:r w:rsidRPr="000F60F0">
        <w:rPr>
          <w:rFonts w:ascii="宋体" w:eastAsia="宋体" w:hAnsi="宋体"/>
          <w:sz w:val="21"/>
          <w:szCs w:val="21"/>
        </w:rPr>
        <w:t xml:space="preserve">图 </w:t>
      </w:r>
      <w:r w:rsidRPr="000F60F0">
        <w:rPr>
          <w:rFonts w:ascii="宋体" w:eastAsia="宋体" w:hAnsi="宋体"/>
          <w:sz w:val="21"/>
          <w:szCs w:val="21"/>
        </w:rPr>
        <w:fldChar w:fldCharType="begin"/>
      </w:r>
      <w:r w:rsidRPr="000F60F0">
        <w:rPr>
          <w:rFonts w:ascii="宋体" w:eastAsia="宋体" w:hAnsi="宋体"/>
          <w:sz w:val="21"/>
          <w:szCs w:val="21"/>
        </w:rPr>
        <w:instrText xml:space="preserve"> SEQ 图 \* ARABIC </w:instrText>
      </w:r>
      <w:r w:rsidRPr="000F60F0">
        <w:rPr>
          <w:rFonts w:ascii="宋体" w:eastAsia="宋体" w:hAnsi="宋体"/>
          <w:sz w:val="21"/>
          <w:szCs w:val="21"/>
        </w:rPr>
        <w:fldChar w:fldCharType="separate"/>
      </w:r>
      <w:r>
        <w:rPr>
          <w:rFonts w:ascii="宋体" w:eastAsia="宋体" w:hAnsi="宋体"/>
          <w:noProof/>
          <w:sz w:val="21"/>
          <w:szCs w:val="21"/>
        </w:rPr>
        <w:t>2</w:t>
      </w:r>
      <w:r w:rsidRPr="000F60F0">
        <w:rPr>
          <w:rFonts w:ascii="宋体" w:eastAsia="宋体" w:hAnsi="宋体"/>
          <w:sz w:val="21"/>
          <w:szCs w:val="21"/>
        </w:rPr>
        <w:fldChar w:fldCharType="end"/>
      </w:r>
      <w:r w:rsidRPr="000F60F0">
        <w:rPr>
          <w:rFonts w:ascii="宋体" w:eastAsia="宋体" w:hAnsi="宋体" w:hint="eastAsia"/>
          <w:sz w:val="21"/>
          <w:szCs w:val="21"/>
        </w:rPr>
        <w:t>预测模型的运行逻辑</w:t>
      </w:r>
    </w:p>
    <w:p w14:paraId="1ED63689" w14:textId="77777777"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其中</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t</m:t>
            </m:r>
          </m:sub>
        </m:sSub>
      </m:oMath>
      <w:r w:rsidRPr="000F60F0">
        <w:rPr>
          <w:rFonts w:ascii="宋体" w:hAnsi="宋体" w:hint="eastAsia"/>
          <w:szCs w:val="21"/>
        </w:rPr>
        <w:t>为第t次序列输入的隐变量，包括基础面指标：</w:t>
      </w:r>
      <w:proofErr w:type="gramStart"/>
      <w:r w:rsidRPr="000F60F0">
        <w:rPr>
          <w:rFonts w:ascii="宋体" w:hAnsi="宋体" w:hint="eastAsia"/>
          <w:szCs w:val="21"/>
        </w:rPr>
        <w:t>市净率</w:t>
      </w:r>
      <w:proofErr w:type="gramEnd"/>
      <w:r w:rsidRPr="000F60F0">
        <w:rPr>
          <w:rFonts w:ascii="宋体" w:hAnsi="宋体" w:hint="eastAsia"/>
          <w:szCs w:val="21"/>
        </w:rPr>
        <w:t>（PE）、市盈率（PB），技术面指标：相对强弱指标（CCI5）、简单移动平均线（SMA），</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t</m:t>
            </m:r>
          </m:sub>
        </m:sSub>
      </m:oMath>
      <w:r w:rsidRPr="000F60F0">
        <w:rPr>
          <w:rFonts w:ascii="宋体" w:hAnsi="宋体" w:hint="eastAsia"/>
          <w:szCs w:val="21"/>
        </w:rPr>
        <w:t>为第t次输出的股价，</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t</m:t>
            </m:r>
          </m:sub>
        </m:sSub>
      </m:oMath>
      <w:r w:rsidRPr="000F60F0">
        <w:rPr>
          <w:rFonts w:ascii="宋体" w:hAnsi="宋体" w:hint="eastAsia"/>
          <w:szCs w:val="21"/>
        </w:rPr>
        <w:t>为第t次的细胞状态。</w:t>
      </w:r>
    </w:p>
    <w:p w14:paraId="1AF6E204" w14:textId="77777777"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上一序列的股价</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t-1</m:t>
            </m:r>
          </m:sub>
        </m:sSub>
      </m:oMath>
      <w:r w:rsidRPr="000F60F0">
        <w:rPr>
          <w:rFonts w:ascii="宋体" w:hAnsi="宋体" w:hint="eastAsia"/>
          <w:szCs w:val="21"/>
        </w:rPr>
        <w:t>和本次的</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t</m:t>
            </m:r>
          </m:sub>
        </m:sSub>
      </m:oMath>
      <w:r w:rsidRPr="000F60F0">
        <w:rPr>
          <w:rFonts w:ascii="宋体" w:hAnsi="宋体" w:hint="eastAsia"/>
          <w:szCs w:val="21"/>
        </w:rPr>
        <w:t>进入长短期记忆网络神经元，通过一个激活函数，得到遗忘门的输出</w:t>
      </w:r>
      <m:oMath>
        <m:r>
          <w:rPr>
            <w:rFonts w:ascii="Cambria Math" w:hAnsi="Cambria Math"/>
            <w:szCs w:val="21"/>
          </w:rPr>
          <m:t>f(t)</m:t>
        </m:r>
      </m:oMath>
      <w:r w:rsidRPr="000F60F0">
        <w:rPr>
          <w:rFonts w:ascii="宋体" w:hAnsi="宋体" w:hint="eastAsia"/>
          <w:szCs w:val="21"/>
        </w:rPr>
        <w:t>，输出</w:t>
      </w:r>
      <m:oMath>
        <m:r>
          <w:rPr>
            <w:rFonts w:ascii="Cambria Math" w:hAnsi="Cambria Math"/>
            <w:szCs w:val="21"/>
          </w:rPr>
          <m:t>f(t)</m:t>
        </m:r>
      </m:oMath>
      <w:r w:rsidRPr="000F60F0">
        <w:rPr>
          <w:rFonts w:ascii="宋体" w:hAnsi="宋体" w:hint="eastAsia"/>
          <w:szCs w:val="21"/>
        </w:rPr>
        <w:t>再去影响神经元状态，其数学表达式为：</w:t>
      </w:r>
    </w:p>
    <w:p w14:paraId="0C49686E" w14:textId="14C292E0" w:rsidR="00AD3EE0" w:rsidRPr="000F60F0" w:rsidRDefault="008E26DC" w:rsidP="00AD3EE0">
      <w:pPr>
        <w:adjustRightInd w:val="0"/>
        <w:snapToGrid w:val="0"/>
        <w:ind w:firstLineChars="200" w:firstLine="420"/>
        <w:jc w:val="center"/>
        <w:rPr>
          <w:rFonts w:ascii="宋体" w:hAnsi="宋体"/>
          <w:szCs w:val="21"/>
        </w:rPr>
      </w:pPr>
      <w:r>
        <w:rPr>
          <w:rFonts w:ascii="宋体" w:hAnsi="宋体" w:hint="eastAsia"/>
          <w:szCs w:val="21"/>
        </w:rPr>
        <w:t xml:space="preserve"> </w:t>
      </w:r>
      <w:r w:rsidR="00AD3EE0" w:rsidRPr="000F60F0">
        <w:rPr>
          <w:rFonts w:ascii="宋体" w:hAnsi="宋体"/>
          <w:position w:val="-16"/>
          <w:szCs w:val="21"/>
        </w:rPr>
        <w:object w:dxaOrig="2720" w:dyaOrig="440" w14:anchorId="77D18E52">
          <v:shape id="_x0000_i1030" type="#_x0000_t75" style="width:135.95pt;height:21.9pt" o:ole="">
            <v:imagedata r:id="rId17" o:title=""/>
          </v:shape>
          <o:OLEObject Type="Embed" ProgID="Equation.DSMT4" ShapeID="_x0000_i1030" DrawAspect="Content" ObjectID="_1620577079" r:id="rId18"/>
        </w:object>
      </w:r>
      <w:r w:rsidR="00AD3EE0" w:rsidRPr="000F60F0">
        <w:rPr>
          <w:rFonts w:ascii="宋体" w:hAnsi="宋体" w:hint="eastAsia"/>
          <w:szCs w:val="21"/>
        </w:rPr>
        <w:t>，</w:t>
      </w:r>
      <w:r>
        <w:rPr>
          <w:rFonts w:ascii="宋体" w:hAnsi="宋体" w:hint="eastAsia"/>
          <w:szCs w:val="21"/>
        </w:rPr>
        <w:t xml:space="preserve">   </w:t>
      </w:r>
      <w:r w:rsidR="00AD3EE0">
        <w:rPr>
          <w:rFonts w:ascii="宋体" w:hAnsi="宋体" w:hint="eastAsia"/>
          <w:szCs w:val="21"/>
        </w:rPr>
        <w:t>（5）</w:t>
      </w:r>
    </w:p>
    <w:p w14:paraId="7738078B" w14:textId="77777777" w:rsidR="00AD3EE0" w:rsidRPr="000F60F0" w:rsidRDefault="00AD3EE0" w:rsidP="00AD3EE0">
      <w:pPr>
        <w:adjustRightInd w:val="0"/>
        <w:snapToGrid w:val="0"/>
        <w:rPr>
          <w:rFonts w:ascii="宋体" w:hAnsi="宋体"/>
          <w:szCs w:val="21"/>
        </w:rPr>
      </w:pPr>
      <w:r w:rsidRPr="000F60F0">
        <w:rPr>
          <w:rFonts w:ascii="宋体" w:hAnsi="宋体" w:hint="eastAsia"/>
          <w:szCs w:val="21"/>
        </w:rPr>
        <w:t>其中</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f</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f</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f</m:t>
            </m:r>
          </m:sub>
        </m:sSub>
      </m:oMath>
      <w:r w:rsidRPr="000F60F0">
        <w:rPr>
          <w:rFonts w:ascii="宋体" w:hAnsi="宋体" w:hint="eastAsia"/>
          <w:szCs w:val="21"/>
        </w:rPr>
        <w:t>为线性关系的系数和偏倚，</w:t>
      </w:r>
      <m:oMath>
        <m:r>
          <m:rPr>
            <m:sty m:val="p"/>
          </m:rPr>
          <w:rPr>
            <w:rFonts w:ascii="Cambria Math" w:hAnsi="Cambria Math"/>
            <w:szCs w:val="21"/>
          </w:rPr>
          <m:t>σ</m:t>
        </m:r>
      </m:oMath>
      <w:r w:rsidRPr="000F60F0">
        <w:rPr>
          <w:rFonts w:ascii="宋体" w:hAnsi="宋体" w:hint="eastAsia"/>
          <w:szCs w:val="21"/>
        </w:rPr>
        <w:t>为激活函数。</w:t>
      </w:r>
    </w:p>
    <w:p w14:paraId="3B86598E" w14:textId="77777777"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输入门则由经过</w:t>
      </w:r>
      <m:oMath>
        <m:r>
          <m:rPr>
            <m:sty m:val="p"/>
          </m:rPr>
          <w:rPr>
            <w:rFonts w:ascii="Cambria Math" w:hAnsi="Cambria Math"/>
            <w:szCs w:val="21"/>
          </w:rPr>
          <m:t>σ</m:t>
        </m:r>
      </m:oMath>
      <w:r w:rsidRPr="000F60F0">
        <w:rPr>
          <w:rFonts w:ascii="宋体" w:hAnsi="宋体" w:hint="eastAsia"/>
          <w:szCs w:val="21"/>
        </w:rPr>
        <w:t>激活函数的</w:t>
      </w:r>
      <m:oMath>
        <m:r>
          <w:rPr>
            <w:rFonts w:ascii="Cambria Math" w:hAnsi="Cambria Math"/>
            <w:szCs w:val="21"/>
          </w:rPr>
          <m:t>i(t)</m:t>
        </m:r>
      </m:oMath>
      <w:r w:rsidRPr="000F60F0">
        <w:rPr>
          <w:rFonts w:ascii="宋体" w:hAnsi="宋体" w:hint="eastAsia"/>
          <w:szCs w:val="21"/>
        </w:rPr>
        <w:t>和经过</w:t>
      </w:r>
      <m:oMath>
        <m:r>
          <m:rPr>
            <m:sty m:val="p"/>
          </m:rPr>
          <w:rPr>
            <w:rFonts w:ascii="Cambria Math" w:hAnsi="Cambria Math"/>
            <w:szCs w:val="21"/>
          </w:rPr>
          <m:t>tanh</m:t>
        </m:r>
      </m:oMath>
      <w:r w:rsidRPr="000F60F0">
        <w:rPr>
          <w:rFonts w:ascii="宋体" w:hAnsi="宋体" w:hint="eastAsia"/>
          <w:szCs w:val="21"/>
        </w:rPr>
        <w:t>激活函数的</w:t>
      </w:r>
      <m:oMath>
        <m:r>
          <w:rPr>
            <w:rFonts w:ascii="Cambria Math" w:hAnsi="Cambria Math"/>
            <w:szCs w:val="21"/>
          </w:rPr>
          <m:t>a(t)</m:t>
        </m:r>
      </m:oMath>
      <w:r w:rsidRPr="000F60F0">
        <w:rPr>
          <w:rFonts w:ascii="宋体" w:hAnsi="宋体" w:hint="eastAsia"/>
          <w:szCs w:val="21"/>
        </w:rPr>
        <w:t>组成，</w:t>
      </w:r>
      <m:oMath>
        <m:r>
          <w:rPr>
            <w:rFonts w:ascii="Cambria Math" w:hAnsi="Cambria Math"/>
            <w:szCs w:val="21"/>
          </w:rPr>
          <m:t>i(t)</m:t>
        </m:r>
      </m:oMath>
      <w:r w:rsidRPr="000F60F0">
        <w:rPr>
          <w:rFonts w:ascii="宋体" w:hAnsi="宋体" w:hint="eastAsia"/>
          <w:szCs w:val="21"/>
        </w:rPr>
        <w:t>和</w:t>
      </w:r>
      <m:oMath>
        <m:r>
          <w:rPr>
            <w:rFonts w:ascii="Cambria Math" w:hAnsi="Cambria Math"/>
            <w:szCs w:val="21"/>
          </w:rPr>
          <m:t>a(t)</m:t>
        </m:r>
      </m:oMath>
      <w:r w:rsidRPr="000F60F0">
        <w:rPr>
          <w:rFonts w:ascii="宋体" w:hAnsi="宋体" w:hint="eastAsia"/>
          <w:szCs w:val="21"/>
        </w:rPr>
        <w:t>相乘后再去影响细胞状态，其数学表达式为：</w:t>
      </w:r>
    </w:p>
    <w:p w14:paraId="2C267261" w14:textId="182BEA16" w:rsidR="00AD3EE0" w:rsidRPr="000F60F0" w:rsidRDefault="00F77E1E" w:rsidP="00AD3EE0">
      <w:pPr>
        <w:adjustRightInd w:val="0"/>
        <w:snapToGrid w:val="0"/>
        <w:jc w:val="center"/>
        <w:rPr>
          <w:rFonts w:ascii="宋体" w:hAnsi="宋体"/>
          <w:szCs w:val="21"/>
        </w:rPr>
      </w:pPr>
      <w:r>
        <w:rPr>
          <w:rFonts w:ascii="宋体" w:hAnsi="宋体" w:hint="eastAsia"/>
          <w:szCs w:val="21"/>
        </w:rPr>
        <w:t xml:space="preserve">      </w:t>
      </w:r>
      <w:r w:rsidR="00AD3EE0" w:rsidRPr="000F60F0">
        <w:rPr>
          <w:rFonts w:ascii="宋体" w:hAnsi="宋体"/>
          <w:position w:val="-14"/>
          <w:szCs w:val="21"/>
        </w:rPr>
        <w:object w:dxaOrig="2580" w:dyaOrig="400" w14:anchorId="3D4DD175">
          <v:shape id="_x0000_i1031" type="#_x0000_t75" style="width:129pt;height:20.15pt" o:ole="">
            <v:imagedata r:id="rId19" o:title=""/>
          </v:shape>
          <o:OLEObject Type="Embed" ProgID="Equation.DSMT4" ShapeID="_x0000_i1031" DrawAspect="Content" ObjectID="_1620577080" r:id="rId20"/>
        </w:object>
      </w:r>
      <w:r w:rsidR="00AD3EE0" w:rsidRPr="000F60F0">
        <w:rPr>
          <w:rFonts w:ascii="宋体" w:hAnsi="宋体" w:hint="eastAsia"/>
          <w:szCs w:val="21"/>
        </w:rPr>
        <w:t>，</w:t>
      </w:r>
      <w:r w:rsidR="008E26DC">
        <w:rPr>
          <w:rFonts w:ascii="宋体" w:hAnsi="宋体" w:hint="eastAsia"/>
          <w:szCs w:val="21"/>
        </w:rPr>
        <w:t xml:space="preserve"> </w:t>
      </w:r>
      <w:r>
        <w:rPr>
          <w:rFonts w:ascii="宋体" w:hAnsi="宋体" w:hint="eastAsia"/>
          <w:szCs w:val="21"/>
        </w:rPr>
        <w:t xml:space="preserve">  </w:t>
      </w:r>
      <w:r w:rsidR="00AD3EE0">
        <w:rPr>
          <w:rFonts w:ascii="宋体" w:hAnsi="宋体" w:hint="eastAsia"/>
          <w:szCs w:val="21"/>
        </w:rPr>
        <w:t>（6）</w:t>
      </w:r>
    </w:p>
    <w:p w14:paraId="59FECC40" w14:textId="087479D7" w:rsidR="00AD3EE0" w:rsidRPr="000F60F0" w:rsidRDefault="00F77E1E" w:rsidP="00AD3EE0">
      <w:pPr>
        <w:adjustRightInd w:val="0"/>
        <w:snapToGrid w:val="0"/>
        <w:jc w:val="center"/>
        <w:rPr>
          <w:rFonts w:ascii="宋体" w:hAnsi="宋体"/>
          <w:szCs w:val="21"/>
        </w:rPr>
      </w:pPr>
      <w:r>
        <w:rPr>
          <w:rFonts w:ascii="宋体" w:hAnsi="宋体" w:hint="eastAsia"/>
          <w:szCs w:val="21"/>
        </w:rPr>
        <w:t xml:space="preserve">     </w:t>
      </w:r>
      <w:r w:rsidR="00AD3EE0" w:rsidRPr="000F60F0">
        <w:rPr>
          <w:rFonts w:ascii="宋体" w:hAnsi="宋体"/>
          <w:position w:val="-14"/>
          <w:szCs w:val="21"/>
        </w:rPr>
        <w:object w:dxaOrig="3000" w:dyaOrig="400" w14:anchorId="6D693E1B">
          <v:shape id="_x0000_i1032" type="#_x0000_t75" style="width:150.35pt;height:20.15pt" o:ole="">
            <v:imagedata r:id="rId21" o:title=""/>
          </v:shape>
          <o:OLEObject Type="Embed" ProgID="Equation.DSMT4" ShapeID="_x0000_i1032" DrawAspect="Content" ObjectID="_1620577081" r:id="rId22"/>
        </w:object>
      </w:r>
      <w:r>
        <w:rPr>
          <w:rFonts w:ascii="宋体" w:hAnsi="宋体" w:hint="eastAsia"/>
          <w:szCs w:val="21"/>
        </w:rPr>
        <w:t>，</w:t>
      </w:r>
      <w:r w:rsidR="00AD3EE0">
        <w:rPr>
          <w:rFonts w:ascii="宋体" w:hAnsi="宋体" w:hint="eastAsia"/>
          <w:szCs w:val="21"/>
        </w:rPr>
        <w:t>（7）</w:t>
      </w:r>
    </w:p>
    <w:p w14:paraId="1EEEAB5D" w14:textId="77777777" w:rsidR="00AD3EE0" w:rsidRPr="000F60F0" w:rsidRDefault="00AD3EE0" w:rsidP="00AD3EE0">
      <w:pPr>
        <w:adjustRightInd w:val="0"/>
        <w:snapToGrid w:val="0"/>
        <w:jc w:val="left"/>
        <w:rPr>
          <w:rFonts w:ascii="宋体" w:hAnsi="宋体"/>
          <w:szCs w:val="21"/>
        </w:rPr>
      </w:pPr>
      <w:r w:rsidRPr="000F60F0">
        <w:rPr>
          <w:rFonts w:ascii="宋体" w:hAnsi="宋体" w:hint="eastAsia"/>
          <w:szCs w:val="21"/>
        </w:rPr>
        <w:t>其中</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i</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i</m:t>
            </m:r>
          </m:sub>
        </m:sSub>
      </m:oMath>
      <w:r>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W</m:t>
            </m:r>
          </m:e>
          <m:sub>
            <m:r>
              <w:rPr>
                <w:rFonts w:ascii="Cambria Math" w:hAnsi="Cambria Math"/>
                <w:szCs w:val="21"/>
              </w:rPr>
              <m:t>a</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a</m:t>
            </m:r>
          </m:sub>
        </m:sSub>
      </m:oMath>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a</m:t>
            </m:r>
          </m:sub>
        </m:sSub>
      </m:oMath>
      <w:r w:rsidRPr="000F60F0">
        <w:rPr>
          <w:rFonts w:ascii="宋体" w:hAnsi="宋体" w:hint="eastAsia"/>
          <w:szCs w:val="21"/>
        </w:rPr>
        <w:t>为线性关系的系数和偏倚，</w:t>
      </w:r>
      <m:oMath>
        <m:r>
          <m:rPr>
            <m:sty m:val="p"/>
          </m:rPr>
          <w:rPr>
            <w:rFonts w:ascii="Cambria Math" w:hAnsi="Cambria Math"/>
            <w:szCs w:val="21"/>
          </w:rPr>
          <m:t>tanh</m:t>
        </m:r>
      </m:oMath>
      <w:r w:rsidRPr="000F60F0">
        <w:rPr>
          <w:rFonts w:ascii="宋体" w:hAnsi="宋体" w:hint="eastAsia"/>
          <w:szCs w:val="21"/>
        </w:rPr>
        <w:t>为激活函数。</w:t>
      </w:r>
    </w:p>
    <w:p w14:paraId="4530C8C8" w14:textId="77777777" w:rsidR="00AD3EE0" w:rsidRPr="000F60F0" w:rsidRDefault="00AD3EE0" w:rsidP="00AD3EE0">
      <w:pPr>
        <w:adjustRightInd w:val="0"/>
        <w:snapToGrid w:val="0"/>
        <w:ind w:firstLineChars="200" w:firstLine="420"/>
        <w:jc w:val="left"/>
        <w:rPr>
          <w:rFonts w:ascii="宋体" w:hAnsi="宋体"/>
          <w:szCs w:val="21"/>
        </w:rPr>
      </w:pPr>
      <w:r w:rsidRPr="000F60F0">
        <w:rPr>
          <w:rFonts w:ascii="宋体" w:hAnsi="宋体" w:hint="eastAsia"/>
          <w:szCs w:val="21"/>
        </w:rPr>
        <w:t>神经元状态</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t</m:t>
            </m:r>
          </m:sub>
        </m:sSub>
      </m:oMath>
      <w:r w:rsidRPr="000F60F0">
        <w:rPr>
          <w:rFonts w:ascii="宋体" w:hAnsi="宋体" w:hint="eastAsia"/>
          <w:szCs w:val="21"/>
        </w:rPr>
        <w:t>受到</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t-1</m:t>
            </m:r>
          </m:sub>
        </m:sSub>
      </m:oMath>
      <w:r w:rsidRPr="000F60F0">
        <w:rPr>
          <w:rFonts w:ascii="宋体" w:hAnsi="宋体" w:hint="eastAsia"/>
          <w:szCs w:val="21"/>
        </w:rPr>
        <w:t>和</w:t>
      </w:r>
      <m:oMath>
        <m:r>
          <w:rPr>
            <w:rFonts w:ascii="Cambria Math" w:hAnsi="Cambria Math"/>
            <w:szCs w:val="21"/>
          </w:rPr>
          <m:t>f(t)</m:t>
        </m:r>
      </m:oMath>
      <w:r w:rsidRPr="000F60F0">
        <w:rPr>
          <w:rFonts w:ascii="宋体" w:hAnsi="宋体" w:hint="eastAsia"/>
          <w:szCs w:val="21"/>
        </w:rPr>
        <w:t>的乘积、</w:t>
      </w:r>
      <m:oMath>
        <m:r>
          <w:rPr>
            <w:rFonts w:ascii="Cambria Math" w:hAnsi="Cambria Math"/>
            <w:szCs w:val="21"/>
          </w:rPr>
          <m:t>i(t)</m:t>
        </m:r>
      </m:oMath>
      <w:r w:rsidRPr="000F60F0">
        <w:rPr>
          <w:rFonts w:ascii="宋体" w:hAnsi="宋体" w:hint="eastAsia"/>
          <w:szCs w:val="21"/>
        </w:rPr>
        <w:t>和</w:t>
      </w:r>
      <m:oMath>
        <m:r>
          <w:rPr>
            <w:rFonts w:ascii="Cambria Math" w:hAnsi="Cambria Math"/>
            <w:szCs w:val="21"/>
          </w:rPr>
          <m:t>a(t)</m:t>
        </m:r>
      </m:oMath>
      <w:r w:rsidRPr="000F60F0">
        <w:rPr>
          <w:rFonts w:ascii="宋体" w:hAnsi="宋体" w:hint="eastAsia"/>
          <w:szCs w:val="21"/>
        </w:rPr>
        <w:t>的乘积的影响，其数学表达式为：</w:t>
      </w:r>
    </w:p>
    <w:p w14:paraId="7B936AC2" w14:textId="727F2763" w:rsidR="00AD3EE0" w:rsidRPr="000F60F0" w:rsidRDefault="00F77E1E" w:rsidP="00AD3EE0">
      <w:pPr>
        <w:adjustRightInd w:val="0"/>
        <w:snapToGrid w:val="0"/>
        <w:ind w:firstLineChars="200" w:firstLine="420"/>
        <w:jc w:val="center"/>
        <w:rPr>
          <w:rFonts w:ascii="宋体" w:hAnsi="宋体"/>
          <w:szCs w:val="21"/>
        </w:rPr>
      </w:pPr>
      <w:r>
        <w:rPr>
          <w:rFonts w:ascii="宋体" w:hAnsi="宋体" w:hint="eastAsia"/>
          <w:szCs w:val="21"/>
        </w:rPr>
        <w:t xml:space="preserve"> </w:t>
      </w:r>
      <w:r w:rsidR="00AD3EE0" w:rsidRPr="000F60F0">
        <w:rPr>
          <w:rFonts w:ascii="宋体" w:hAnsi="宋体"/>
          <w:position w:val="-12"/>
          <w:szCs w:val="21"/>
        </w:rPr>
        <w:object w:dxaOrig="880" w:dyaOrig="360" w14:anchorId="79809262">
          <v:shape id="_x0000_i1033" type="#_x0000_t75" style="width:43.8pt;height:18.15pt" o:ole="">
            <v:imagedata r:id="rId23" o:title=""/>
          </v:shape>
          <o:OLEObject Type="Embed" ProgID="Equation.DSMT4" ShapeID="_x0000_i1033" DrawAspect="Content" ObjectID="_1620577082" r:id="rId24"/>
        </w:object>
      </w:r>
      <w:r w:rsidR="00AD3EE0" w:rsidRPr="000F60F0">
        <w:rPr>
          <w:rFonts w:ascii="宋体" w:hAnsi="宋体" w:hint="eastAsia"/>
          <w:szCs w:val="21"/>
        </w:rPr>
        <w:t>⊙</w:t>
      </w:r>
      <w:r w:rsidR="00AD3EE0" w:rsidRPr="000F60F0">
        <w:rPr>
          <w:rFonts w:ascii="宋体" w:hAnsi="宋体"/>
          <w:position w:val="-10"/>
          <w:szCs w:val="21"/>
        </w:rPr>
        <w:object w:dxaOrig="480" w:dyaOrig="320" w14:anchorId="547CAE1D">
          <v:shape id="_x0000_i1034" type="#_x0000_t75" style="width:23.9pt;height:16.4pt" o:ole="">
            <v:imagedata r:id="rId25" o:title=""/>
          </v:shape>
          <o:OLEObject Type="Embed" ProgID="Equation.DSMT4" ShapeID="_x0000_i1034" DrawAspect="Content" ObjectID="_1620577083" r:id="rId26"/>
        </w:object>
      </w:r>
      <w:r w:rsidR="00AD3EE0" w:rsidRPr="000F60F0">
        <w:rPr>
          <w:rFonts w:ascii="宋体" w:hAnsi="宋体"/>
          <w:szCs w:val="21"/>
        </w:rPr>
        <w:t>+</w:t>
      </w:r>
      <w:r w:rsidR="00AD3EE0" w:rsidRPr="000F60F0">
        <w:rPr>
          <w:rFonts w:ascii="宋体" w:hAnsi="宋体"/>
          <w:position w:val="-14"/>
          <w:szCs w:val="21"/>
        </w:rPr>
        <w:object w:dxaOrig="440" w:dyaOrig="400" w14:anchorId="4E3079C2">
          <v:shape id="_x0000_i1035" type="#_x0000_t75" style="width:21.9pt;height:20.15pt" o:ole="">
            <v:imagedata r:id="rId27" o:title=""/>
          </v:shape>
          <o:OLEObject Type="Embed" ProgID="Equation.DSMT4" ShapeID="_x0000_i1035" DrawAspect="Content" ObjectID="_1620577084" r:id="rId28"/>
        </w:object>
      </w:r>
      <w:r w:rsidR="00AD3EE0" w:rsidRPr="000F60F0">
        <w:rPr>
          <w:rFonts w:ascii="宋体" w:hAnsi="宋体" w:hint="eastAsia"/>
          <w:szCs w:val="21"/>
        </w:rPr>
        <w:t>⊙</w:t>
      </w:r>
      <w:r w:rsidR="00AD3EE0" w:rsidRPr="000F60F0">
        <w:rPr>
          <w:rFonts w:ascii="宋体" w:hAnsi="宋体"/>
          <w:position w:val="-14"/>
          <w:szCs w:val="21"/>
        </w:rPr>
        <w:object w:dxaOrig="499" w:dyaOrig="400" w14:anchorId="34BBDE8B">
          <v:shape id="_x0000_i1036" type="#_x0000_t75" style="width:25.05pt;height:20.15pt" o:ole="">
            <v:imagedata r:id="rId29" o:title=""/>
          </v:shape>
          <o:OLEObject Type="Embed" ProgID="Equation.DSMT4" ShapeID="_x0000_i1036" DrawAspect="Content" ObjectID="_1620577085" r:id="rId30"/>
        </w:object>
      </w:r>
      <w:r w:rsidR="00AD3EE0">
        <w:rPr>
          <w:rFonts w:ascii="宋体" w:hAnsi="宋体"/>
          <w:szCs w:val="21"/>
        </w:rPr>
        <w:t>，</w:t>
      </w:r>
      <w:r>
        <w:rPr>
          <w:rFonts w:ascii="宋体" w:hAnsi="宋体" w:hint="eastAsia"/>
          <w:szCs w:val="21"/>
        </w:rPr>
        <w:t xml:space="preserve">  </w:t>
      </w:r>
      <w:r w:rsidR="00AD3EE0">
        <w:rPr>
          <w:rFonts w:ascii="宋体" w:hAnsi="宋体"/>
          <w:szCs w:val="21"/>
        </w:rPr>
        <w:t>（8）</w:t>
      </w:r>
    </w:p>
    <w:p w14:paraId="617386F7" w14:textId="77777777" w:rsidR="00AD3EE0" w:rsidRPr="000F60F0" w:rsidRDefault="00AD3EE0" w:rsidP="00AD3EE0">
      <w:pPr>
        <w:adjustRightInd w:val="0"/>
        <w:snapToGrid w:val="0"/>
        <w:rPr>
          <w:rFonts w:ascii="宋体" w:hAnsi="宋体"/>
          <w:szCs w:val="21"/>
        </w:rPr>
      </w:pPr>
      <w:r w:rsidRPr="000F60F0">
        <w:rPr>
          <w:rFonts w:ascii="宋体" w:hAnsi="宋体" w:hint="eastAsia"/>
          <w:szCs w:val="21"/>
        </w:rPr>
        <w:t>其中⊙为</w:t>
      </w:r>
      <w:proofErr w:type="spellStart"/>
      <w:r w:rsidRPr="000F60F0">
        <w:rPr>
          <w:rFonts w:ascii="宋体" w:hAnsi="宋体" w:hint="eastAsia"/>
          <w:szCs w:val="21"/>
        </w:rPr>
        <w:t>Hadamard</w:t>
      </w:r>
      <w:proofErr w:type="spellEnd"/>
      <w:r w:rsidRPr="000F60F0">
        <w:rPr>
          <w:rFonts w:ascii="宋体" w:hAnsi="宋体" w:hint="eastAsia"/>
          <w:szCs w:val="21"/>
        </w:rPr>
        <w:t>积。</w:t>
      </w:r>
    </w:p>
    <w:p w14:paraId="280DA08D" w14:textId="77777777" w:rsidR="00AD3EE0" w:rsidRDefault="00AD3EE0" w:rsidP="00AD3EE0">
      <w:pPr>
        <w:adjustRightInd w:val="0"/>
        <w:snapToGrid w:val="0"/>
        <w:ind w:firstLineChars="200" w:firstLine="420"/>
        <w:rPr>
          <w:rFonts w:ascii="宋体" w:hAnsi="宋体"/>
          <w:szCs w:val="21"/>
        </w:rPr>
      </w:pPr>
      <w:r w:rsidRPr="000F60F0">
        <w:rPr>
          <w:rFonts w:ascii="宋体" w:hAnsi="宋体" w:hint="eastAsia"/>
          <w:szCs w:val="21"/>
        </w:rPr>
        <w:t>股价</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t</m:t>
            </m:r>
          </m:sub>
        </m:sSub>
      </m:oMath>
      <w:r w:rsidRPr="000F60F0">
        <w:rPr>
          <w:rFonts w:ascii="宋体" w:hAnsi="宋体" w:hint="eastAsia"/>
          <w:szCs w:val="21"/>
        </w:rPr>
        <w:t>主要由两部分组成，第一部分是股价</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t-1</m:t>
            </m:r>
          </m:sub>
        </m:sSub>
      </m:oMath>
      <w:r w:rsidRPr="000F60F0">
        <w:rPr>
          <w:rFonts w:ascii="宋体" w:hAnsi="宋体" w:hint="eastAsia"/>
          <w:szCs w:val="21"/>
        </w:rPr>
        <w:t>和第t次序列</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t</m:t>
            </m:r>
          </m:sub>
        </m:sSub>
      </m:oMath>
      <w:r w:rsidRPr="000F60F0">
        <w:rPr>
          <w:rFonts w:ascii="宋体" w:hAnsi="宋体" w:hint="eastAsia"/>
          <w:szCs w:val="21"/>
        </w:rPr>
        <w:t>经过</w:t>
      </w:r>
      <m:oMath>
        <m:r>
          <m:rPr>
            <m:sty m:val="p"/>
          </m:rPr>
          <w:rPr>
            <w:rFonts w:ascii="Cambria Math" w:hAnsi="Cambria Math"/>
            <w:szCs w:val="21"/>
          </w:rPr>
          <m:t>σ</m:t>
        </m:r>
      </m:oMath>
      <w:r w:rsidRPr="000F60F0">
        <w:rPr>
          <w:rFonts w:ascii="宋体" w:hAnsi="宋体" w:hint="eastAsia"/>
          <w:szCs w:val="21"/>
        </w:rPr>
        <w:t>函数后的</w:t>
      </w:r>
      <m:oMath>
        <m:r>
          <w:rPr>
            <w:rFonts w:ascii="Cambria Math" w:hAnsi="Cambria Math"/>
            <w:szCs w:val="21"/>
          </w:rPr>
          <m:t>o(t)</m:t>
        </m:r>
      </m:oMath>
      <w:r w:rsidRPr="000F60F0">
        <w:rPr>
          <w:rFonts w:ascii="宋体" w:hAnsi="宋体" w:hint="eastAsia"/>
          <w:szCs w:val="21"/>
        </w:rPr>
        <w:t>，第二部分是细胞状态</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t</m:t>
            </m:r>
          </m:sub>
        </m:sSub>
      </m:oMath>
      <w:r w:rsidRPr="000F60F0">
        <w:rPr>
          <w:rFonts w:ascii="宋体" w:hAnsi="宋体" w:hint="eastAsia"/>
          <w:szCs w:val="21"/>
        </w:rPr>
        <w:t>和</w:t>
      </w:r>
      <m:oMath>
        <m:r>
          <m:rPr>
            <m:sty m:val="p"/>
          </m:rPr>
          <w:rPr>
            <w:rFonts w:ascii="Cambria Math" w:hAnsi="Cambria Math"/>
            <w:szCs w:val="21"/>
          </w:rPr>
          <m:t>tanh</m:t>
        </m:r>
      </m:oMath>
      <w:r w:rsidRPr="000F60F0">
        <w:rPr>
          <w:rFonts w:ascii="宋体" w:hAnsi="宋体" w:hint="eastAsia"/>
          <w:szCs w:val="21"/>
        </w:rPr>
        <w:t>函数组成，其数学表达式为：</w:t>
      </w:r>
    </w:p>
    <w:p w14:paraId="2DD50D80" w14:textId="4214CB8E" w:rsidR="00AD3EE0" w:rsidRDefault="00F77E1E" w:rsidP="00F77E1E">
      <w:pPr>
        <w:adjustRightInd w:val="0"/>
        <w:snapToGrid w:val="0"/>
        <w:jc w:val="center"/>
        <w:rPr>
          <w:rFonts w:ascii="宋体" w:hAnsi="宋体"/>
          <w:szCs w:val="21"/>
        </w:rPr>
      </w:pPr>
      <w:r>
        <w:rPr>
          <w:rFonts w:ascii="宋体" w:hAnsi="宋体" w:hint="eastAsia"/>
          <w:szCs w:val="21"/>
        </w:rPr>
        <w:t xml:space="preserve">     </w:t>
      </w:r>
      <w:r w:rsidR="00AD3EE0" w:rsidRPr="000F60F0">
        <w:rPr>
          <w:rFonts w:ascii="宋体" w:hAnsi="宋体"/>
          <w:position w:val="-14"/>
          <w:szCs w:val="21"/>
        </w:rPr>
        <w:object w:dxaOrig="2680" w:dyaOrig="400" w14:anchorId="265556E2">
          <v:shape id="_x0000_i1037" type="#_x0000_t75" style="width:133.9pt;height:20.15pt" o:ole="">
            <v:imagedata r:id="rId31" o:title=""/>
          </v:shape>
          <o:OLEObject Type="Embed" ProgID="Equation.DSMT4" ShapeID="_x0000_i1037" DrawAspect="Content" ObjectID="_1620577086" r:id="rId32"/>
        </w:object>
      </w:r>
      <w:r w:rsidR="00AD3EE0" w:rsidRPr="000F60F0">
        <w:rPr>
          <w:rFonts w:ascii="宋体" w:hAnsi="宋体" w:hint="eastAsia"/>
          <w:szCs w:val="21"/>
        </w:rPr>
        <w:t>，</w:t>
      </w:r>
      <w:r>
        <w:rPr>
          <w:rFonts w:ascii="宋体" w:hAnsi="宋体" w:hint="eastAsia"/>
          <w:szCs w:val="21"/>
        </w:rPr>
        <w:t xml:space="preserve">   </w:t>
      </w:r>
      <w:r w:rsidR="00AD3EE0">
        <w:rPr>
          <w:rFonts w:ascii="宋体" w:hAnsi="宋体" w:hint="eastAsia"/>
          <w:szCs w:val="21"/>
        </w:rPr>
        <w:t>（9）</w:t>
      </w:r>
    </w:p>
    <w:p w14:paraId="1D904AF5" w14:textId="29A60E30" w:rsidR="00F77E1E" w:rsidRPr="000F60F0" w:rsidRDefault="00F77E1E" w:rsidP="00F77E1E">
      <w:pPr>
        <w:adjustRightInd w:val="0"/>
        <w:snapToGrid w:val="0"/>
        <w:ind w:firstLineChars="300" w:firstLine="630"/>
        <w:rPr>
          <w:rFonts w:ascii="宋体" w:hAnsi="宋体"/>
          <w:szCs w:val="21"/>
        </w:rPr>
      </w:pPr>
      <w:r w:rsidRPr="000F60F0">
        <w:rPr>
          <w:rFonts w:ascii="宋体" w:hAnsi="宋体"/>
          <w:position w:val="-14"/>
          <w:szCs w:val="21"/>
        </w:rPr>
        <w:object w:dxaOrig="1180" w:dyaOrig="400" w14:anchorId="00FE3438">
          <v:shape id="_x0000_i1038" type="#_x0000_t75" style="width:58.2pt;height:20.15pt" o:ole="">
            <v:imagedata r:id="rId33" o:title=""/>
          </v:shape>
          <o:OLEObject Type="Embed" ProgID="Equation.DSMT4" ShapeID="_x0000_i1038" DrawAspect="Content" ObjectID="_1620577087" r:id="rId34"/>
        </w:object>
      </w:r>
      <w:r>
        <w:rPr>
          <w:rFonts w:ascii="宋体" w:hAnsi="宋体"/>
          <w:szCs w:val="21"/>
        </w:rPr>
        <w:sym w:font="Wingdings" w:char="F0A4"/>
      </w:r>
      <w:r w:rsidRPr="000F60F0">
        <w:rPr>
          <w:rFonts w:ascii="宋体" w:hAnsi="宋体"/>
          <w:position w:val="-14"/>
          <w:szCs w:val="21"/>
        </w:rPr>
        <w:object w:dxaOrig="1180" w:dyaOrig="400" w14:anchorId="3326021D">
          <v:shape id="_x0000_i1039" type="#_x0000_t75" style="width:58.2pt;height:20.15pt" o:ole="">
            <v:imagedata r:id="rId33" o:title=""/>
          </v:shape>
          <o:OLEObject Type="Embed" ProgID="Equation.DSMT4" ShapeID="_x0000_i1039" DrawAspect="Content" ObjectID="_1620577088" r:id="rId35"/>
        </w:object>
      </w:r>
      <w:r>
        <w:rPr>
          <w:rFonts w:ascii="宋体" w:hAnsi="宋体" w:hint="eastAsia"/>
          <w:szCs w:val="21"/>
        </w:rPr>
        <w:t>,   （10）</w:t>
      </w:r>
    </w:p>
    <w:p w14:paraId="71B68E36" w14:textId="78E35789" w:rsidR="00AD3EE0" w:rsidRPr="000F60F0" w:rsidRDefault="00AD3EE0" w:rsidP="00AD3EE0">
      <w:pPr>
        <w:adjustRightInd w:val="0"/>
        <w:snapToGrid w:val="0"/>
        <w:ind w:firstLineChars="200" w:firstLine="420"/>
        <w:rPr>
          <w:rFonts w:ascii="宋体" w:hAnsi="宋体"/>
          <w:szCs w:val="21"/>
        </w:rPr>
      </w:pPr>
      <w:r w:rsidRPr="000F60F0">
        <w:rPr>
          <w:rFonts w:ascii="宋体" w:hAnsi="宋体" w:hint="eastAsia"/>
          <w:szCs w:val="21"/>
        </w:rPr>
        <w:t>以上述模型为基础搭建的神经网络主要由四大层组成，第一层输入为1个LSTM神经元，第二层为5</w:t>
      </w:r>
      <w:r w:rsidRPr="000F60F0">
        <w:rPr>
          <w:rFonts w:ascii="宋体" w:hAnsi="宋体"/>
          <w:szCs w:val="21"/>
        </w:rPr>
        <w:t>0</w:t>
      </w:r>
      <w:r w:rsidRPr="000F60F0">
        <w:rPr>
          <w:rFonts w:ascii="宋体" w:hAnsi="宋体" w:hint="eastAsia"/>
          <w:szCs w:val="21"/>
        </w:rPr>
        <w:t>个LSTM神经元，第三层为1</w:t>
      </w:r>
      <w:r w:rsidRPr="000F60F0">
        <w:rPr>
          <w:rFonts w:ascii="宋体" w:hAnsi="宋体"/>
          <w:szCs w:val="21"/>
        </w:rPr>
        <w:t>00</w:t>
      </w:r>
      <w:r w:rsidRPr="000F60F0">
        <w:rPr>
          <w:rFonts w:ascii="宋体" w:hAnsi="宋体" w:hint="eastAsia"/>
          <w:szCs w:val="21"/>
        </w:rPr>
        <w:t>个Dense神经元，第四层——输出层为1个Dense神经元，如图7</w:t>
      </w:r>
      <w:r>
        <w:rPr>
          <w:rFonts w:ascii="宋体" w:hAnsi="宋体" w:hint="eastAsia"/>
          <w:szCs w:val="21"/>
        </w:rPr>
        <w:t>所</w:t>
      </w:r>
      <w:r w:rsidR="00F77E1E">
        <w:rPr>
          <w:rFonts w:ascii="宋体" w:hAnsi="宋体" w:hint="eastAsia"/>
          <w:szCs w:val="21"/>
        </w:rPr>
        <w:t>示：</w:t>
      </w:r>
    </w:p>
    <w:p w14:paraId="037A90FA" w14:textId="6CB85ABB" w:rsidR="00AD3EE0" w:rsidRPr="000F60F0" w:rsidRDefault="002A68BB" w:rsidP="002A68BB">
      <w:pPr>
        <w:adjustRightInd w:val="0"/>
        <w:snapToGrid w:val="0"/>
        <w:ind w:firstLineChars="100" w:firstLine="210"/>
        <w:jc w:val="center"/>
        <w:rPr>
          <w:rFonts w:ascii="宋体" w:hAnsi="宋体"/>
          <w:szCs w:val="21"/>
        </w:rPr>
      </w:pPr>
      <w:r w:rsidRPr="000F60F0">
        <w:rPr>
          <w:rFonts w:ascii="宋体" w:hAnsi="宋体"/>
          <w:szCs w:val="21"/>
        </w:rPr>
        <w:object w:dxaOrig="9060" w:dyaOrig="7065" w14:anchorId="3ABFB82D">
          <v:shape id="_x0000_i1040" type="#_x0000_t75" style="width:167.6pt;height:125.85pt" o:ole="">
            <v:imagedata r:id="rId36" o:title="" croptop="5074f" cropleft="5961f" cropright="6528f"/>
          </v:shape>
          <o:OLEObject Type="Embed" ProgID="Visio.Drawing.15" ShapeID="_x0000_i1040" DrawAspect="Content" ObjectID="_1620577089" r:id="rId37"/>
        </w:object>
      </w:r>
      <w:r w:rsidR="00AD3EE0">
        <w:rPr>
          <w:rFonts w:ascii="宋体" w:hAnsi="宋体" w:hint="eastAsia"/>
          <w:szCs w:val="21"/>
        </w:rPr>
        <w:t xml:space="preserve">    </w:t>
      </w:r>
      <w:r w:rsidR="004F5CC7" w:rsidRPr="000F60F0">
        <w:rPr>
          <w:rFonts w:ascii="宋体" w:hAnsi="宋体"/>
          <w:szCs w:val="21"/>
        </w:rPr>
        <w:t xml:space="preserve">图 </w:t>
      </w:r>
      <w:r w:rsidR="004F5CC7" w:rsidRPr="000F60F0">
        <w:rPr>
          <w:rFonts w:ascii="宋体" w:hAnsi="宋体"/>
          <w:szCs w:val="21"/>
        </w:rPr>
        <w:fldChar w:fldCharType="begin"/>
      </w:r>
      <w:r w:rsidR="004F5CC7" w:rsidRPr="000F60F0">
        <w:rPr>
          <w:rFonts w:ascii="宋体" w:hAnsi="宋体"/>
          <w:szCs w:val="21"/>
        </w:rPr>
        <w:instrText xml:space="preserve"> SEQ 图 \* ARABIC </w:instrText>
      </w:r>
      <w:r w:rsidR="004F5CC7" w:rsidRPr="000F60F0">
        <w:rPr>
          <w:rFonts w:ascii="宋体" w:hAnsi="宋体"/>
          <w:szCs w:val="21"/>
        </w:rPr>
        <w:fldChar w:fldCharType="separate"/>
      </w:r>
      <w:r w:rsidR="004F5CC7">
        <w:rPr>
          <w:rFonts w:ascii="宋体" w:hAnsi="宋体"/>
          <w:noProof/>
          <w:szCs w:val="21"/>
        </w:rPr>
        <w:t>3</w:t>
      </w:r>
      <w:r w:rsidR="004F5CC7" w:rsidRPr="000F60F0">
        <w:rPr>
          <w:rFonts w:ascii="宋体" w:hAnsi="宋体"/>
          <w:szCs w:val="21"/>
        </w:rPr>
        <w:fldChar w:fldCharType="end"/>
      </w:r>
      <w:r w:rsidR="004F5CC7" w:rsidRPr="000F60F0">
        <w:rPr>
          <w:rFonts w:ascii="宋体" w:hAnsi="宋体" w:hint="eastAsia"/>
          <w:szCs w:val="21"/>
        </w:rPr>
        <w:t>工作网络结构</w:t>
      </w:r>
      <w:r w:rsidR="00AD3EE0" w:rsidRPr="000F60F0">
        <w:rPr>
          <w:rFonts w:ascii="宋体" w:hAnsi="宋体"/>
          <w:szCs w:val="21"/>
        </w:rPr>
        <w:object w:dxaOrig="8341" w:dyaOrig="7066" w14:anchorId="68095D74">
          <v:shape id="_x0000_i1041" type="#_x0000_t75" style="width:178.85pt;height:149.2pt" o:ole="">
            <v:imagedata r:id="rId38" o:title="" croptop="5040f" cropleft="6481f" cropright="6482f"/>
          </v:shape>
          <o:OLEObject Type="Embed" ProgID="Visio.Drawing.15" ShapeID="_x0000_i1041" DrawAspect="Content" ObjectID="_1620577090" r:id="rId39"/>
        </w:object>
      </w:r>
    </w:p>
    <w:p w14:paraId="0153F304" w14:textId="6734BC8A" w:rsidR="00AD3EE0" w:rsidRPr="00684C38" w:rsidRDefault="00AD3EE0" w:rsidP="00684C38">
      <w:pPr>
        <w:jc w:val="center"/>
        <w:rPr>
          <w:szCs w:val="21"/>
          <w:highlight w:val="yellow"/>
        </w:rPr>
      </w:pPr>
      <w:r w:rsidRPr="000F60F0">
        <w:rPr>
          <w:rFonts w:ascii="宋体" w:hAnsi="宋体"/>
          <w:szCs w:val="21"/>
        </w:rPr>
        <w:t>图</w:t>
      </w:r>
      <w:r>
        <w:rPr>
          <w:rFonts w:ascii="宋体" w:hAnsi="宋体"/>
          <w:szCs w:val="21"/>
        </w:rPr>
        <w:t xml:space="preserve"> 4</w:t>
      </w:r>
      <w:r w:rsidRPr="000F60F0">
        <w:rPr>
          <w:rFonts w:ascii="宋体" w:hAnsi="宋体" w:hint="eastAsia"/>
          <w:szCs w:val="21"/>
        </w:rPr>
        <w:t>人工神经网络结构</w:t>
      </w:r>
    </w:p>
    <w:p w14:paraId="0B33374A" w14:textId="77777777" w:rsidR="006C59ED" w:rsidRDefault="006C59ED" w:rsidP="006C59ED">
      <w:pPr>
        <w:adjustRightInd w:val="0"/>
        <w:snapToGrid w:val="0"/>
        <w:rPr>
          <w:rFonts w:ascii="宋体" w:hAnsi="宋体"/>
          <w:b/>
          <w:kern w:val="44"/>
          <w:szCs w:val="24"/>
        </w:rPr>
      </w:pPr>
      <w:r>
        <w:rPr>
          <w:rFonts w:ascii="宋体" w:hAnsi="宋体" w:hint="eastAsia"/>
          <w:b/>
          <w:kern w:val="44"/>
          <w:szCs w:val="24"/>
        </w:rPr>
        <w:t>3.</w:t>
      </w:r>
      <w:r w:rsidRPr="002466B1">
        <w:rPr>
          <w:rFonts w:ascii="宋体" w:hAnsi="宋体" w:hint="eastAsia"/>
          <w:b/>
          <w:kern w:val="44"/>
          <w:szCs w:val="24"/>
        </w:rPr>
        <w:t>其他模型的建立</w:t>
      </w:r>
    </w:p>
    <w:p w14:paraId="59C17809" w14:textId="2CAA3AD4" w:rsidR="00F47A7F" w:rsidRDefault="00F47A7F" w:rsidP="0044455C">
      <w:pPr>
        <w:adjustRightInd w:val="0"/>
        <w:snapToGrid w:val="0"/>
        <w:ind w:firstLineChars="200" w:firstLine="420"/>
        <w:rPr>
          <w:rFonts w:ascii="Arial" w:hAnsi="Arial" w:cs="Arial"/>
          <w:color w:val="333333"/>
          <w:spacing w:val="9"/>
          <w:shd w:val="clear" w:color="auto" w:fill="FFFFFF"/>
        </w:rPr>
      </w:pPr>
      <w:r>
        <w:rPr>
          <w:rFonts w:hint="eastAsia"/>
        </w:rPr>
        <w:t>张文俊和张永进</w:t>
      </w:r>
      <w:r>
        <w:rPr>
          <w:rFonts w:ascii="Arial" w:hAnsi="Arial" w:cs="Arial"/>
          <w:color w:val="333333"/>
          <w:spacing w:val="9"/>
          <w:shd w:val="clear" w:color="auto" w:fill="FFFFFF"/>
        </w:rPr>
        <w:t>运用</w:t>
      </w:r>
      <w:r>
        <w:rPr>
          <w:rFonts w:ascii="Arial" w:hAnsi="Arial" w:cs="Arial"/>
          <w:color w:val="333333"/>
          <w:spacing w:val="9"/>
          <w:shd w:val="clear" w:color="auto" w:fill="FFFFFF"/>
        </w:rPr>
        <w:t>K-</w:t>
      </w:r>
      <w:r>
        <w:rPr>
          <w:rFonts w:ascii="Arial" w:hAnsi="Arial" w:cs="Arial"/>
          <w:color w:val="333333"/>
          <w:spacing w:val="9"/>
          <w:shd w:val="clear" w:color="auto" w:fill="FFFFFF"/>
        </w:rPr>
        <w:t>近邻、朴素贝叶斯、决策树、支持</w:t>
      </w:r>
      <w:proofErr w:type="gramStart"/>
      <w:r>
        <w:rPr>
          <w:rFonts w:ascii="Arial" w:hAnsi="Arial" w:cs="Arial"/>
          <w:color w:val="333333"/>
          <w:spacing w:val="9"/>
          <w:shd w:val="clear" w:color="auto" w:fill="FFFFFF"/>
        </w:rPr>
        <w:t>向量机</w:t>
      </w:r>
      <w:proofErr w:type="gramEnd"/>
      <w:r>
        <w:rPr>
          <w:rFonts w:ascii="Arial" w:hAnsi="Arial" w:cs="Arial"/>
          <w:color w:val="333333"/>
          <w:spacing w:val="9"/>
          <w:shd w:val="clear" w:color="auto" w:fill="FFFFFF"/>
        </w:rPr>
        <w:t>这</w:t>
      </w:r>
      <w:r>
        <w:rPr>
          <w:rFonts w:ascii="Arial" w:hAnsi="Arial" w:cs="Arial"/>
          <w:color w:val="333333"/>
          <w:spacing w:val="9"/>
          <w:shd w:val="clear" w:color="auto" w:fill="FFFFFF"/>
        </w:rPr>
        <w:t>4</w:t>
      </w:r>
      <w:r>
        <w:rPr>
          <w:rFonts w:ascii="Arial" w:hAnsi="Arial" w:cs="Arial"/>
          <w:color w:val="333333"/>
          <w:spacing w:val="9"/>
          <w:shd w:val="clear" w:color="auto" w:fill="FFFFFF"/>
        </w:rPr>
        <w:t>种数据挖掘算法</w:t>
      </w:r>
      <w:r>
        <w:rPr>
          <w:rFonts w:ascii="Arial" w:hAnsi="Arial" w:cs="Arial"/>
          <w:color w:val="333333"/>
          <w:spacing w:val="9"/>
          <w:shd w:val="clear" w:color="auto" w:fill="FFFFFF"/>
        </w:rPr>
        <w:t xml:space="preserve">, </w:t>
      </w:r>
      <w:r>
        <w:rPr>
          <w:rFonts w:ascii="Arial" w:hAnsi="Arial" w:cs="Arial" w:hint="eastAsia"/>
          <w:color w:val="333333"/>
          <w:spacing w:val="9"/>
          <w:shd w:val="clear" w:color="auto" w:fill="FFFFFF"/>
        </w:rPr>
        <w:t>对样本数据进行测试，</w:t>
      </w:r>
      <w:r>
        <w:rPr>
          <w:rFonts w:ascii="Arial" w:hAnsi="Arial" w:cs="Arial"/>
          <w:color w:val="333333"/>
          <w:spacing w:val="9"/>
          <w:shd w:val="clear" w:color="auto" w:fill="FFFFFF"/>
        </w:rPr>
        <w:t> </w:t>
      </w:r>
      <w:r>
        <w:rPr>
          <w:rFonts w:ascii="Arial" w:hAnsi="Arial" w:cs="Arial"/>
          <w:color w:val="333333"/>
          <w:spacing w:val="9"/>
          <w:shd w:val="clear" w:color="auto" w:fill="FFFFFF"/>
        </w:rPr>
        <w:t>结果表明支持向量机具有较高的击中率。</w:t>
      </w:r>
      <w:r w:rsidR="00663DF6">
        <w:rPr>
          <w:rFonts w:ascii="Arial" w:hAnsi="Arial" w:cs="Arial" w:hint="eastAsia"/>
          <w:color w:val="333333"/>
          <w:spacing w:val="9"/>
          <w:shd w:val="clear" w:color="auto" w:fill="FFFFFF"/>
        </w:rPr>
        <w:t>BP</w:t>
      </w:r>
      <w:r w:rsidR="00663DF6">
        <w:rPr>
          <w:rFonts w:ascii="Arial" w:hAnsi="Arial" w:cs="Arial" w:hint="eastAsia"/>
          <w:color w:val="333333"/>
          <w:spacing w:val="9"/>
          <w:shd w:val="clear" w:color="auto" w:fill="FFFFFF"/>
        </w:rPr>
        <w:t>神经网络作为股价预测的传统机器学习算法，对股价预测起到较好的作用。本文通过比较</w:t>
      </w:r>
      <w:r w:rsidR="00663DF6">
        <w:rPr>
          <w:rFonts w:ascii="Arial" w:hAnsi="Arial" w:cs="Arial" w:hint="eastAsia"/>
          <w:color w:val="333333"/>
          <w:spacing w:val="9"/>
          <w:shd w:val="clear" w:color="auto" w:fill="FFFFFF"/>
        </w:rPr>
        <w:t>LSTM</w:t>
      </w:r>
      <w:r w:rsidR="00663DF6">
        <w:rPr>
          <w:rFonts w:ascii="Arial" w:hAnsi="Arial" w:cs="Arial" w:hint="eastAsia"/>
          <w:color w:val="333333"/>
          <w:spacing w:val="9"/>
          <w:shd w:val="clear" w:color="auto" w:fill="FFFFFF"/>
        </w:rPr>
        <w:t>、</w:t>
      </w:r>
      <w:r w:rsidR="00663DF6">
        <w:rPr>
          <w:rFonts w:ascii="Arial" w:hAnsi="Arial" w:cs="Arial" w:hint="eastAsia"/>
          <w:color w:val="333333"/>
          <w:spacing w:val="9"/>
          <w:shd w:val="clear" w:color="auto" w:fill="FFFFFF"/>
        </w:rPr>
        <w:t>BP</w:t>
      </w:r>
      <w:r w:rsidR="00663DF6">
        <w:rPr>
          <w:rFonts w:ascii="Arial" w:hAnsi="Arial" w:cs="Arial" w:hint="eastAsia"/>
          <w:color w:val="333333"/>
          <w:spacing w:val="9"/>
          <w:shd w:val="clear" w:color="auto" w:fill="FFFFFF"/>
        </w:rPr>
        <w:t>神经网络和支持</w:t>
      </w:r>
      <w:proofErr w:type="gramStart"/>
      <w:r w:rsidR="00663DF6">
        <w:rPr>
          <w:rFonts w:ascii="Arial" w:hAnsi="Arial" w:cs="Arial" w:hint="eastAsia"/>
          <w:color w:val="333333"/>
          <w:spacing w:val="9"/>
          <w:shd w:val="clear" w:color="auto" w:fill="FFFFFF"/>
        </w:rPr>
        <w:t>向量机</w:t>
      </w:r>
      <w:proofErr w:type="gramEnd"/>
      <w:r w:rsidR="00663DF6">
        <w:rPr>
          <w:rFonts w:ascii="Arial" w:hAnsi="Arial" w:cs="Arial" w:hint="eastAsia"/>
          <w:color w:val="333333"/>
          <w:spacing w:val="9"/>
          <w:shd w:val="clear" w:color="auto" w:fill="FFFFFF"/>
        </w:rPr>
        <w:t>的泛化能力来说明</w:t>
      </w:r>
      <w:r w:rsidR="00663DF6">
        <w:rPr>
          <w:rFonts w:ascii="Arial" w:hAnsi="Arial" w:cs="Arial" w:hint="eastAsia"/>
          <w:color w:val="333333"/>
          <w:spacing w:val="9"/>
          <w:shd w:val="clear" w:color="auto" w:fill="FFFFFF"/>
        </w:rPr>
        <w:t>LSTM</w:t>
      </w:r>
      <w:r w:rsidR="00663DF6">
        <w:rPr>
          <w:rFonts w:ascii="Arial" w:hAnsi="Arial" w:cs="Arial" w:hint="eastAsia"/>
          <w:color w:val="333333"/>
          <w:spacing w:val="9"/>
          <w:shd w:val="clear" w:color="auto" w:fill="FFFFFF"/>
        </w:rPr>
        <w:t>在</w:t>
      </w:r>
      <w:r w:rsidR="00F0798E">
        <w:rPr>
          <w:rFonts w:ascii="Arial" w:hAnsi="Arial" w:cs="Arial" w:hint="eastAsia"/>
          <w:color w:val="333333"/>
          <w:spacing w:val="9"/>
          <w:shd w:val="clear" w:color="auto" w:fill="FFFFFF"/>
        </w:rPr>
        <w:t>股价预测方面具有较好的表现。</w:t>
      </w:r>
    </w:p>
    <w:p w14:paraId="1C3646FF" w14:textId="6E26DA64" w:rsidR="006C59ED" w:rsidRPr="00985BD8" w:rsidRDefault="006C59ED" w:rsidP="00F47A7F">
      <w:pPr>
        <w:adjustRightInd w:val="0"/>
        <w:snapToGrid w:val="0"/>
        <w:rPr>
          <w:rFonts w:ascii="宋体" w:hAnsi="宋体"/>
          <w:b/>
          <w:szCs w:val="21"/>
        </w:rPr>
      </w:pPr>
      <w:r w:rsidRPr="00985BD8">
        <w:rPr>
          <w:rFonts w:ascii="宋体" w:hAnsi="宋体" w:hint="eastAsia"/>
          <w:b/>
          <w:szCs w:val="21"/>
        </w:rPr>
        <w:t>BPNN股价预测</w:t>
      </w:r>
      <w:r>
        <w:rPr>
          <w:rFonts w:ascii="宋体" w:hAnsi="宋体" w:hint="eastAsia"/>
          <w:b/>
          <w:szCs w:val="21"/>
          <w:vertAlign w:val="superscript"/>
        </w:rPr>
        <w:t>[11</w:t>
      </w:r>
      <w:r w:rsidRPr="00985BD8">
        <w:rPr>
          <w:rFonts w:ascii="宋体" w:hAnsi="宋体" w:hint="eastAsia"/>
          <w:b/>
          <w:szCs w:val="21"/>
          <w:vertAlign w:val="superscript"/>
        </w:rPr>
        <w:t>]</w:t>
      </w:r>
    </w:p>
    <w:p w14:paraId="694E64D9" w14:textId="77777777" w:rsidR="006C59ED" w:rsidRPr="000F60F0" w:rsidRDefault="006C59ED" w:rsidP="006C59ED">
      <w:pPr>
        <w:ind w:firstLineChars="200" w:firstLine="420"/>
        <w:rPr>
          <w:rFonts w:ascii="宋体" w:hAnsi="宋体"/>
          <w:szCs w:val="21"/>
        </w:rPr>
      </w:pPr>
      <w:r w:rsidRPr="000F60F0">
        <w:rPr>
          <w:rFonts w:ascii="宋体" w:hAnsi="宋体" w:hint="eastAsia"/>
          <w:szCs w:val="21"/>
        </w:rPr>
        <w:t>人工神经网络的结构如图</w:t>
      </w:r>
      <w:r w:rsidRPr="000F60F0">
        <w:rPr>
          <w:rFonts w:ascii="宋体" w:hAnsi="宋体"/>
          <w:szCs w:val="21"/>
        </w:rPr>
        <w:fldChar w:fldCharType="begin"/>
      </w:r>
      <w:r w:rsidRPr="000F60F0">
        <w:rPr>
          <w:rFonts w:ascii="宋体" w:hAnsi="宋体"/>
          <w:szCs w:val="21"/>
        </w:rPr>
        <w:instrText xml:space="preserve"> SEQ 图 \* ARABIC </w:instrText>
      </w:r>
      <w:r w:rsidRPr="000F60F0">
        <w:rPr>
          <w:rFonts w:ascii="宋体" w:hAnsi="宋体"/>
          <w:szCs w:val="21"/>
        </w:rPr>
        <w:fldChar w:fldCharType="separate"/>
      </w:r>
      <w:r>
        <w:rPr>
          <w:rFonts w:ascii="宋体" w:hAnsi="宋体"/>
          <w:noProof/>
          <w:szCs w:val="21"/>
        </w:rPr>
        <w:t>4</w:t>
      </w:r>
      <w:r w:rsidRPr="000F60F0">
        <w:rPr>
          <w:rFonts w:ascii="宋体" w:hAnsi="宋体"/>
          <w:szCs w:val="21"/>
        </w:rPr>
        <w:fldChar w:fldCharType="end"/>
      </w:r>
      <w:r w:rsidRPr="000F60F0">
        <w:rPr>
          <w:rFonts w:ascii="宋体" w:hAnsi="宋体" w:hint="eastAsia"/>
          <w:szCs w:val="21"/>
        </w:rPr>
        <w:t>所示，基本面指标：</w:t>
      </w:r>
      <w:proofErr w:type="gramStart"/>
      <w:r w:rsidRPr="000F60F0">
        <w:rPr>
          <w:rFonts w:ascii="宋体" w:hAnsi="宋体" w:hint="eastAsia"/>
          <w:szCs w:val="21"/>
        </w:rPr>
        <w:t>市净率</w:t>
      </w:r>
      <w:proofErr w:type="gramEnd"/>
      <w:r w:rsidRPr="000F60F0">
        <w:rPr>
          <w:rFonts w:ascii="宋体" w:hAnsi="宋体" w:hint="eastAsia"/>
          <w:szCs w:val="21"/>
        </w:rPr>
        <w:t>（PE）、市盈率（PB）和技术面指标相对强弱指标（CCI5）、简单移动平均线（SMA）通过输入层进入，经过输入层、隐含层、输出层的不断训练，使输出结果达到股价预测所允许的误差，激活函数为“</w:t>
      </w:r>
      <w:proofErr w:type="spellStart"/>
      <w:r>
        <w:rPr>
          <w:rFonts w:ascii="宋体" w:hAnsi="宋体" w:hint="eastAsia"/>
          <w:szCs w:val="21"/>
        </w:rPr>
        <w:t>Relu</w:t>
      </w:r>
      <w:proofErr w:type="spellEnd"/>
      <w:r w:rsidRPr="000F60F0">
        <w:rPr>
          <w:rFonts w:ascii="宋体" w:hAnsi="宋体" w:hint="eastAsia"/>
          <w:szCs w:val="21"/>
        </w:rPr>
        <w:t>”函数，优化算法为“</w:t>
      </w:r>
      <w:proofErr w:type="spellStart"/>
      <w:r>
        <w:rPr>
          <w:rFonts w:ascii="宋体" w:hAnsi="宋体" w:hint="eastAsia"/>
          <w:szCs w:val="21"/>
        </w:rPr>
        <w:t>Rmsprop</w:t>
      </w:r>
      <w:proofErr w:type="spellEnd"/>
      <w:r w:rsidRPr="000F60F0">
        <w:rPr>
          <w:rFonts w:ascii="宋体" w:hAnsi="宋体" w:hint="eastAsia"/>
          <w:szCs w:val="21"/>
        </w:rPr>
        <w:t>”——均方根支柱全局搜索最优算法。评价指标为“</w:t>
      </w:r>
      <w:proofErr w:type="spellStart"/>
      <w:r>
        <w:rPr>
          <w:rFonts w:ascii="宋体" w:hAnsi="宋体" w:hint="eastAsia"/>
          <w:szCs w:val="21"/>
        </w:rPr>
        <w:t>Mse</w:t>
      </w:r>
      <w:proofErr w:type="spellEnd"/>
      <w:r w:rsidRPr="000F60F0">
        <w:rPr>
          <w:rFonts w:ascii="宋体" w:hAnsi="宋体" w:hint="eastAsia"/>
          <w:szCs w:val="21"/>
        </w:rPr>
        <w:t>”。</w:t>
      </w:r>
    </w:p>
    <w:p w14:paraId="7F7FCC38" w14:textId="77777777" w:rsidR="006C59ED" w:rsidRPr="000F60F0" w:rsidRDefault="006C59ED" w:rsidP="006C59ED">
      <w:pPr>
        <w:ind w:firstLineChars="200" w:firstLine="420"/>
        <w:jc w:val="center"/>
        <w:rPr>
          <w:rFonts w:ascii="宋体" w:hAnsi="宋体"/>
          <w:szCs w:val="21"/>
        </w:rPr>
      </w:pPr>
    </w:p>
    <w:p w14:paraId="64CA760E" w14:textId="77777777" w:rsidR="006C59ED" w:rsidRPr="00985BD8" w:rsidRDefault="006C59ED" w:rsidP="006C59ED">
      <w:pPr>
        <w:pStyle w:val="a8"/>
        <w:numPr>
          <w:ilvl w:val="1"/>
          <w:numId w:val="3"/>
        </w:numPr>
        <w:ind w:firstLineChars="0"/>
        <w:rPr>
          <w:rFonts w:ascii="宋体" w:hAnsi="宋体"/>
          <w:b/>
          <w:szCs w:val="21"/>
        </w:rPr>
      </w:pPr>
      <w:r w:rsidRPr="00985BD8">
        <w:rPr>
          <w:rFonts w:ascii="宋体" w:hAnsi="宋体" w:hint="eastAsia"/>
          <w:b/>
          <w:szCs w:val="21"/>
        </w:rPr>
        <w:t>SVM股票涨跌分类</w:t>
      </w:r>
      <w:r>
        <w:rPr>
          <w:rFonts w:ascii="宋体" w:hAnsi="宋体" w:hint="eastAsia"/>
          <w:b/>
          <w:szCs w:val="21"/>
          <w:vertAlign w:val="superscript"/>
        </w:rPr>
        <w:t>[12</w:t>
      </w:r>
      <w:r w:rsidRPr="00985BD8">
        <w:rPr>
          <w:rFonts w:ascii="宋体" w:hAnsi="宋体" w:hint="eastAsia"/>
          <w:b/>
          <w:szCs w:val="21"/>
          <w:vertAlign w:val="superscript"/>
        </w:rPr>
        <w:t>]</w:t>
      </w:r>
    </w:p>
    <w:p w14:paraId="461FDEB6" w14:textId="77777777" w:rsidR="006C59ED" w:rsidRPr="000F60F0" w:rsidRDefault="006C59ED" w:rsidP="006C59ED">
      <w:pPr>
        <w:ind w:firstLineChars="200" w:firstLine="420"/>
        <w:rPr>
          <w:rFonts w:ascii="宋体" w:hAnsi="宋体"/>
          <w:szCs w:val="21"/>
        </w:rPr>
      </w:pPr>
      <w:r w:rsidRPr="000F60F0">
        <w:rPr>
          <w:rFonts w:ascii="宋体" w:hAnsi="宋体" w:hint="eastAsia"/>
          <w:szCs w:val="21"/>
        </w:rPr>
        <w:t>在支持</w:t>
      </w:r>
      <w:proofErr w:type="gramStart"/>
      <w:r w:rsidRPr="000F60F0">
        <w:rPr>
          <w:rFonts w:ascii="宋体" w:hAnsi="宋体" w:hint="eastAsia"/>
          <w:szCs w:val="21"/>
        </w:rPr>
        <w:t>向量机模型</w:t>
      </w:r>
      <w:proofErr w:type="gramEnd"/>
      <w:r w:rsidRPr="000F60F0">
        <w:rPr>
          <w:rFonts w:ascii="宋体" w:hAnsi="宋体" w:hint="eastAsia"/>
          <w:szCs w:val="21"/>
        </w:rPr>
        <w:t>中，为使超平面的“间隔”</w:t>
      </w:r>
      <w:r w:rsidRPr="00E8685F">
        <w:rPr>
          <w:rFonts w:ascii="宋体" w:hAnsi="宋体"/>
          <w:position w:val="-34"/>
          <w:sz w:val="28"/>
          <w:szCs w:val="28"/>
        </w:rPr>
        <w:object w:dxaOrig="780" w:dyaOrig="720" w14:anchorId="7F50F572">
          <v:shape id="_x0000_i1042" type="#_x0000_t75" style="width:39.15pt;height:36.3pt" o:ole="">
            <v:imagedata r:id="rId40" o:title=""/>
          </v:shape>
          <o:OLEObject Type="Embed" ProgID="Equation.DSMT4" ShapeID="_x0000_i1042" DrawAspect="Content" ObjectID="_1620577091" r:id="rId41"/>
        </w:object>
      </w:r>
      <w:r w:rsidRPr="000F60F0">
        <w:rPr>
          <w:rFonts w:ascii="宋体" w:hAnsi="宋体" w:hint="eastAsia"/>
          <w:szCs w:val="21"/>
        </w:rPr>
        <w:t>最大，则优化模型数学表</w:t>
      </w:r>
      <w:r w:rsidRPr="000F60F0">
        <w:rPr>
          <w:rFonts w:ascii="宋体" w:hAnsi="宋体" w:hint="eastAsia"/>
          <w:szCs w:val="21"/>
        </w:rPr>
        <w:lastRenderedPageBreak/>
        <w:t>达式为：</w:t>
      </w:r>
    </w:p>
    <w:p w14:paraId="4FAFCDF9" w14:textId="7C367F5A" w:rsidR="006C59ED" w:rsidRPr="002C5A10" w:rsidRDefault="006C59ED" w:rsidP="00E8685F">
      <w:pPr>
        <w:ind w:firstLineChars="700" w:firstLine="1470"/>
        <w:jc w:val="left"/>
        <w:rPr>
          <w:rFonts w:ascii="宋体" w:hAnsi="宋体"/>
          <w:szCs w:val="21"/>
        </w:rPr>
      </w:pPr>
      <w:r w:rsidRPr="0044337B">
        <w:rPr>
          <w:position w:val="-24"/>
        </w:rPr>
        <w:object w:dxaOrig="1080" w:dyaOrig="620" w14:anchorId="5FE50E26">
          <v:shape id="_x0000_i1043" type="#_x0000_t75" style="width:54.15pt;height:31.1pt" o:ole="">
            <v:imagedata r:id="rId42" o:title=""/>
          </v:shape>
          <o:OLEObject Type="Embed" ProgID="Equation.DSMT4" ShapeID="_x0000_i1043" DrawAspect="Content" ObjectID="_1620577092" r:id="rId43"/>
        </w:object>
      </w:r>
      <w:r>
        <w:rPr>
          <w:rFonts w:ascii="宋体" w:hAnsi="宋体" w:hint="eastAsia"/>
          <w:szCs w:val="21"/>
        </w:rPr>
        <w:t xml:space="preserve">, </w:t>
      </w:r>
      <w:r w:rsidR="00E8685F">
        <w:rPr>
          <w:rFonts w:ascii="宋体" w:hAnsi="宋体" w:hint="eastAsia"/>
          <w:szCs w:val="21"/>
        </w:rPr>
        <w:t xml:space="preserve">       </w:t>
      </w:r>
      <w:r>
        <w:rPr>
          <w:rFonts w:ascii="宋体" w:hAnsi="宋体" w:hint="eastAsia"/>
          <w:szCs w:val="21"/>
        </w:rPr>
        <w:t>(11)</w:t>
      </w:r>
    </w:p>
    <w:p w14:paraId="267DABD7" w14:textId="75BF1A14" w:rsidR="006C59ED" w:rsidRPr="007961DC" w:rsidRDefault="006C59ED" w:rsidP="00E8685F">
      <w:pPr>
        <w:ind w:firstLineChars="100" w:firstLine="210"/>
        <w:rPr>
          <w:rFonts w:ascii="宋体" w:hAnsi="宋体"/>
          <w:szCs w:val="21"/>
        </w:rPr>
      </w:pPr>
      <w:r w:rsidRPr="0044337B">
        <w:rPr>
          <w:position w:val="-12"/>
        </w:rPr>
        <w:object w:dxaOrig="3180" w:dyaOrig="380" w14:anchorId="715CABAE">
          <v:shape id="_x0000_i1044" type="#_x0000_t75" style="width:159pt;height:19pt" o:ole="">
            <v:imagedata r:id="rId44" o:title=""/>
          </v:shape>
          <o:OLEObject Type="Embed" ProgID="Equation.DSMT4" ShapeID="_x0000_i1044" DrawAspect="Content" ObjectID="_1620577093" r:id="rId45"/>
        </w:object>
      </w:r>
      <w:r w:rsidR="00E8685F">
        <w:rPr>
          <w:rFonts w:hint="eastAsia"/>
        </w:rPr>
        <w:t>，</w:t>
      </w:r>
      <w:r w:rsidR="00E8685F">
        <w:rPr>
          <w:rFonts w:ascii="宋体" w:hAnsi="宋体" w:hint="eastAsia"/>
          <w:szCs w:val="21"/>
        </w:rPr>
        <w:t>(1</w:t>
      </w:r>
      <w:r>
        <w:rPr>
          <w:rFonts w:ascii="宋体" w:hAnsi="宋体" w:hint="eastAsia"/>
          <w:szCs w:val="21"/>
        </w:rPr>
        <w:t>2)</w:t>
      </w:r>
    </w:p>
    <w:p w14:paraId="3E361D8A" w14:textId="77777777" w:rsidR="006C59ED" w:rsidRPr="000F60F0" w:rsidRDefault="006C59ED" w:rsidP="006C59ED">
      <w:pPr>
        <w:rPr>
          <w:rFonts w:ascii="宋体" w:hAnsi="宋体"/>
          <w:szCs w:val="21"/>
        </w:rPr>
      </w:pPr>
      <w:r w:rsidRPr="000F60F0">
        <w:rPr>
          <w:rFonts w:ascii="宋体" w:hAnsi="宋体" w:hint="eastAsia"/>
          <w:szCs w:val="21"/>
        </w:rPr>
        <w:t>其中</w:t>
      </w:r>
      <m:oMath>
        <m:r>
          <m:rPr>
            <m:sty m:val="p"/>
          </m:rPr>
          <w:rPr>
            <w:rFonts w:ascii="Cambria Math" w:hAnsi="Cambria Math"/>
            <w:szCs w:val="21"/>
          </w:rPr>
          <m:t>i=4</m:t>
        </m:r>
      </m:oMath>
      <w:r>
        <w:rPr>
          <w:rFonts w:ascii="宋体" w:hAnsi="宋体"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oMath>
      <w:proofErr w:type="gramStart"/>
      <w:r w:rsidRPr="000F60F0">
        <w:rPr>
          <w:rFonts w:ascii="宋体" w:hAnsi="宋体" w:hint="eastAsia"/>
          <w:szCs w:val="21"/>
        </w:rPr>
        <w:t>为市净率</w:t>
      </w:r>
      <w:proofErr w:type="gramEnd"/>
      <w:r w:rsidRPr="000F60F0">
        <w:rPr>
          <w:rFonts w:ascii="宋体" w:hAnsi="宋体" w:hint="eastAsia"/>
          <w:szCs w:val="21"/>
        </w:rPr>
        <w:t>（</w:t>
      </w:r>
      <w:r>
        <w:rPr>
          <w:rFonts w:ascii="宋体" w:hAnsi="宋体" w:hint="eastAsia"/>
          <w:szCs w:val="21"/>
        </w:rPr>
        <w:t>PE</w:t>
      </w:r>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sidRPr="000F60F0">
        <w:rPr>
          <w:rFonts w:ascii="宋体" w:hAnsi="宋体" w:hint="eastAsia"/>
          <w:szCs w:val="21"/>
        </w:rPr>
        <w:t>为市盈率（</w:t>
      </w:r>
      <w:r>
        <w:rPr>
          <w:rFonts w:ascii="宋体" w:hAnsi="宋体" w:hint="eastAsia"/>
          <w:szCs w:val="21"/>
        </w:rPr>
        <w:t>PB</w:t>
      </w:r>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3</m:t>
            </m:r>
          </m:sub>
        </m:sSub>
      </m:oMath>
      <w:r w:rsidRPr="000F60F0">
        <w:rPr>
          <w:rFonts w:ascii="宋体" w:hAnsi="宋体" w:hint="eastAsia"/>
          <w:szCs w:val="21"/>
        </w:rPr>
        <w:t>为相对强弱指标因子（</w:t>
      </w:r>
      <w:r>
        <w:rPr>
          <w:rFonts w:ascii="宋体" w:hAnsi="宋体" w:hint="eastAsia"/>
          <w:szCs w:val="21"/>
        </w:rPr>
        <w:t>CCI5</w:t>
      </w:r>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4</m:t>
            </m:r>
          </m:sub>
        </m:sSub>
      </m:oMath>
      <w:r w:rsidRPr="000F60F0">
        <w:rPr>
          <w:rFonts w:ascii="宋体" w:hAnsi="宋体" w:hint="eastAsia"/>
          <w:szCs w:val="21"/>
        </w:rPr>
        <w:t>为简单移动平均线（</w:t>
      </w:r>
      <w:r>
        <w:rPr>
          <w:rFonts w:ascii="宋体" w:hAnsi="宋体" w:hint="eastAsia"/>
          <w:szCs w:val="21"/>
        </w:rPr>
        <w:t>SMA</w:t>
      </w:r>
      <w:r w:rsidRPr="000F60F0">
        <w:rPr>
          <w:rFonts w:ascii="宋体" w:hAnsi="宋体" w:hint="eastAsia"/>
          <w:szCs w:val="21"/>
        </w:rPr>
        <w:t>）。设置的内核为“</w:t>
      </w:r>
      <w:proofErr w:type="spellStart"/>
      <w:r>
        <w:rPr>
          <w:rFonts w:ascii="宋体" w:hAnsi="宋体" w:hint="eastAsia"/>
          <w:szCs w:val="21"/>
        </w:rPr>
        <w:t>rbf</w:t>
      </w:r>
      <w:proofErr w:type="spellEnd"/>
      <w:r w:rsidRPr="000F60F0">
        <w:rPr>
          <w:rFonts w:ascii="宋体" w:hAnsi="宋体" w:hint="eastAsia"/>
          <w:szCs w:val="21"/>
        </w:rPr>
        <w:t>”，学习率设为“0</w:t>
      </w:r>
      <w:r w:rsidRPr="000F60F0">
        <w:rPr>
          <w:rFonts w:ascii="宋体" w:hAnsi="宋体"/>
          <w:szCs w:val="21"/>
        </w:rPr>
        <w:t>.4</w:t>
      </w:r>
      <w:r w:rsidRPr="000F60F0">
        <w:rPr>
          <w:rFonts w:ascii="宋体" w:hAnsi="宋体" w:hint="eastAsia"/>
          <w:szCs w:val="21"/>
        </w:rPr>
        <w:t>”，</w:t>
      </w:r>
      <w:r>
        <w:rPr>
          <w:rFonts w:ascii="宋体" w:hAnsi="宋体" w:hint="eastAsia"/>
          <w:szCs w:val="21"/>
        </w:rPr>
        <w:t>gamma</w:t>
      </w:r>
      <w:r w:rsidRPr="000F60F0">
        <w:rPr>
          <w:rFonts w:ascii="宋体" w:hAnsi="宋体" w:hint="eastAsia"/>
          <w:szCs w:val="21"/>
        </w:rPr>
        <w:t>系数设为</w:t>
      </w:r>
      <w:r w:rsidRPr="000F60F0">
        <w:rPr>
          <w:rFonts w:ascii="宋体" w:hAnsi="宋体"/>
          <w:szCs w:val="21"/>
        </w:rPr>
        <w:t>1</w:t>
      </w:r>
      <w:r w:rsidRPr="000F60F0">
        <w:rPr>
          <w:rFonts w:ascii="宋体" w:hAnsi="宋体" w:hint="eastAsia"/>
          <w:szCs w:val="21"/>
        </w:rPr>
        <w:t>。</w:t>
      </w:r>
    </w:p>
    <w:p w14:paraId="3D180715" w14:textId="77777777" w:rsidR="006C59ED" w:rsidRPr="00F8238E" w:rsidRDefault="006C59ED" w:rsidP="006C59ED">
      <w:pPr>
        <w:adjustRightInd w:val="0"/>
        <w:snapToGrid w:val="0"/>
        <w:rPr>
          <w:rFonts w:ascii="宋体" w:hAnsi="宋体"/>
          <w:b/>
          <w:kern w:val="44"/>
          <w:szCs w:val="24"/>
        </w:rPr>
      </w:pPr>
      <w:r>
        <w:rPr>
          <w:rFonts w:ascii="宋体" w:hAnsi="宋体" w:hint="eastAsia"/>
          <w:b/>
          <w:kern w:val="44"/>
          <w:szCs w:val="24"/>
        </w:rPr>
        <w:t>4.</w:t>
      </w:r>
      <w:r w:rsidRPr="00F8238E">
        <w:rPr>
          <w:rFonts w:ascii="宋体" w:hAnsi="宋体" w:hint="eastAsia"/>
          <w:b/>
          <w:kern w:val="44"/>
          <w:szCs w:val="24"/>
        </w:rPr>
        <w:t>各多因子股价预测模型的求解与分析</w:t>
      </w:r>
    </w:p>
    <w:p w14:paraId="5DD48333" w14:textId="77777777"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测试求解方法：通过“上证5</w:t>
      </w:r>
      <w:r w:rsidRPr="000F60F0">
        <w:rPr>
          <w:rFonts w:ascii="宋体" w:hAnsi="宋体"/>
          <w:szCs w:val="21"/>
        </w:rPr>
        <w:t>0</w:t>
      </w:r>
      <w:r w:rsidRPr="000F60F0">
        <w:rPr>
          <w:rFonts w:ascii="宋体" w:hAnsi="宋体" w:hint="eastAsia"/>
          <w:szCs w:val="21"/>
        </w:rPr>
        <w:t>”在2</w:t>
      </w:r>
      <w:r w:rsidRPr="000F60F0">
        <w:rPr>
          <w:rFonts w:ascii="宋体" w:hAnsi="宋体"/>
          <w:szCs w:val="21"/>
        </w:rPr>
        <w:t>016</w:t>
      </w:r>
      <w:r w:rsidRPr="000F60F0">
        <w:rPr>
          <w:rFonts w:ascii="宋体" w:hAnsi="宋体" w:hint="eastAsia"/>
          <w:szCs w:val="21"/>
        </w:rPr>
        <w:t>年6月至2</w:t>
      </w:r>
      <w:r w:rsidRPr="000F60F0">
        <w:rPr>
          <w:rFonts w:ascii="宋体" w:hAnsi="宋体"/>
          <w:szCs w:val="21"/>
        </w:rPr>
        <w:t>018</w:t>
      </w:r>
      <w:r w:rsidRPr="000F60F0">
        <w:rPr>
          <w:rFonts w:ascii="宋体" w:hAnsi="宋体" w:hint="eastAsia"/>
          <w:szCs w:val="21"/>
        </w:rPr>
        <w:t>年8 月的所有数据对上述的三个模型进行训练，人工神经网络的股价预测模型的训练情况如图</w:t>
      </w:r>
      <w:r>
        <w:rPr>
          <w:rFonts w:ascii="宋体" w:hAnsi="宋体"/>
          <w:szCs w:val="21"/>
        </w:rPr>
        <w:t>5</w:t>
      </w:r>
      <w:r w:rsidRPr="000F60F0">
        <w:rPr>
          <w:rFonts w:ascii="宋体" w:hAnsi="宋体" w:hint="eastAsia"/>
          <w:szCs w:val="21"/>
        </w:rPr>
        <w:t>所示。</w:t>
      </w:r>
    </w:p>
    <w:p w14:paraId="3CBA1BD0" w14:textId="77777777" w:rsidR="006C59ED" w:rsidRPr="000F60F0" w:rsidRDefault="006C59ED" w:rsidP="006C59ED">
      <w:pPr>
        <w:adjustRightInd w:val="0"/>
        <w:snapToGrid w:val="0"/>
        <w:jc w:val="center"/>
        <w:rPr>
          <w:rFonts w:ascii="宋体" w:hAnsi="宋体"/>
          <w:szCs w:val="21"/>
        </w:rPr>
      </w:pPr>
      <w:r w:rsidRPr="000F60F0">
        <w:rPr>
          <w:rFonts w:ascii="宋体" w:hAnsi="宋体" w:hint="eastAsia"/>
          <w:noProof/>
          <w:szCs w:val="21"/>
        </w:rPr>
        <w:drawing>
          <wp:inline distT="0" distB="0" distL="0" distR="0" wp14:anchorId="5C8ECDED" wp14:editId="31C4B45E">
            <wp:extent cx="2422677" cy="10936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23614" cy="1094045"/>
                    </a:xfrm>
                    <a:prstGeom prst="rect">
                      <a:avLst/>
                    </a:prstGeom>
                    <a:noFill/>
                    <a:ln>
                      <a:noFill/>
                    </a:ln>
                  </pic:spPr>
                </pic:pic>
              </a:graphicData>
            </a:graphic>
          </wp:inline>
        </w:drawing>
      </w:r>
    </w:p>
    <w:p w14:paraId="4AC9BDB3" w14:textId="77777777" w:rsidR="006C59ED" w:rsidRPr="000F60F0" w:rsidRDefault="006C59ED" w:rsidP="006C59ED">
      <w:pPr>
        <w:pStyle w:val="aa"/>
        <w:jc w:val="center"/>
        <w:rPr>
          <w:rFonts w:ascii="宋体" w:eastAsia="宋体" w:hAnsi="宋体"/>
          <w:sz w:val="21"/>
          <w:szCs w:val="21"/>
        </w:rPr>
      </w:pPr>
      <w:r w:rsidRPr="000F60F0">
        <w:rPr>
          <w:rFonts w:ascii="宋体" w:eastAsia="宋体" w:hAnsi="宋体"/>
          <w:sz w:val="21"/>
          <w:szCs w:val="21"/>
        </w:rPr>
        <w:t xml:space="preserve">图 </w:t>
      </w:r>
      <w:r>
        <w:rPr>
          <w:rFonts w:ascii="宋体" w:eastAsia="宋体" w:hAnsi="宋体"/>
          <w:sz w:val="21"/>
          <w:szCs w:val="21"/>
        </w:rPr>
        <w:t>5</w:t>
      </w:r>
      <w:r w:rsidRPr="000F60F0">
        <w:rPr>
          <w:rFonts w:ascii="宋体" w:eastAsia="宋体" w:hAnsi="宋体" w:hint="eastAsia"/>
          <w:sz w:val="21"/>
          <w:szCs w:val="21"/>
        </w:rPr>
        <w:t xml:space="preserve"> BPNN股价预测模型结果</w:t>
      </w:r>
    </w:p>
    <w:p w14:paraId="387F4C47" w14:textId="77777777"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上图的左边图是从“上证5</w:t>
      </w:r>
      <w:r w:rsidRPr="000F60F0">
        <w:rPr>
          <w:rFonts w:ascii="宋体" w:hAnsi="宋体"/>
          <w:szCs w:val="21"/>
        </w:rPr>
        <w:t>0</w:t>
      </w:r>
      <w:r w:rsidRPr="000F60F0">
        <w:rPr>
          <w:rFonts w:ascii="宋体" w:hAnsi="宋体" w:hint="eastAsia"/>
          <w:szCs w:val="21"/>
        </w:rPr>
        <w:t>”中选取随机1</w:t>
      </w:r>
      <w:r w:rsidRPr="000F60F0">
        <w:rPr>
          <w:rFonts w:ascii="宋体" w:hAnsi="宋体"/>
          <w:szCs w:val="21"/>
        </w:rPr>
        <w:t>00</w:t>
      </w:r>
      <w:r w:rsidRPr="000F60F0">
        <w:rPr>
          <w:rFonts w:ascii="宋体" w:hAnsi="宋体" w:hint="eastAsia"/>
          <w:szCs w:val="21"/>
        </w:rPr>
        <w:t>个数据做出的预测股价与真实股价的线性情况，其中黄色线是预测股价的线型走势情况，蓝色线是实际股价的线型走势情况，从左边图中可以发现，黄色线和蓝色线近乎完全重合，说明预测的股价与实际股价几乎相等，误差很小。右边的图反映的是预测模型训练1</w:t>
      </w:r>
      <w:r w:rsidRPr="000F60F0">
        <w:rPr>
          <w:rFonts w:ascii="宋体" w:hAnsi="宋体"/>
          <w:szCs w:val="21"/>
        </w:rPr>
        <w:t>000</w:t>
      </w:r>
      <w:r w:rsidRPr="000F60F0">
        <w:rPr>
          <w:rFonts w:ascii="宋体" w:hAnsi="宋体" w:hint="eastAsia"/>
          <w:szCs w:val="21"/>
        </w:rPr>
        <w:t>次的误差收敛情况，从右图可见，一开始模型的误差为0</w:t>
      </w:r>
      <w:r w:rsidRPr="000F60F0">
        <w:rPr>
          <w:rFonts w:ascii="宋体" w:hAnsi="宋体"/>
          <w:szCs w:val="21"/>
        </w:rPr>
        <w:t>.72</w:t>
      </w:r>
      <w:r w:rsidRPr="000F60F0">
        <w:rPr>
          <w:rFonts w:ascii="宋体" w:hAnsi="宋体" w:hint="eastAsia"/>
          <w:szCs w:val="21"/>
        </w:rPr>
        <w:t>左右，但当训练次数为1</w:t>
      </w:r>
      <w:r w:rsidRPr="000F60F0">
        <w:rPr>
          <w:rFonts w:ascii="宋体" w:hAnsi="宋体"/>
          <w:szCs w:val="21"/>
        </w:rPr>
        <w:t>0</w:t>
      </w:r>
      <w:r w:rsidRPr="000F60F0">
        <w:rPr>
          <w:rFonts w:ascii="宋体" w:hAnsi="宋体" w:hint="eastAsia"/>
          <w:szCs w:val="21"/>
        </w:rPr>
        <w:t>次左右时，模型迅速收敛，说明模型的收敛速度是很快的。</w:t>
      </w:r>
    </w:p>
    <w:p w14:paraId="069E07E1" w14:textId="7A292C6B"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长短期记忆网络（LSTM）的股价预测模型结果如图</w:t>
      </w:r>
      <w:r>
        <w:rPr>
          <w:rFonts w:ascii="宋体" w:hAnsi="宋体"/>
          <w:szCs w:val="21"/>
        </w:rPr>
        <w:t>6</w:t>
      </w:r>
      <w:r w:rsidRPr="000F60F0">
        <w:rPr>
          <w:rFonts w:ascii="宋体" w:hAnsi="宋体" w:hint="eastAsia"/>
          <w:szCs w:val="21"/>
        </w:rPr>
        <w:t>所示。</w:t>
      </w:r>
    </w:p>
    <w:p w14:paraId="77A0EC2C" w14:textId="77777777" w:rsidR="006C59ED" w:rsidRPr="000F60F0" w:rsidRDefault="006C59ED" w:rsidP="006C59ED">
      <w:pPr>
        <w:pStyle w:val="aa"/>
        <w:jc w:val="center"/>
        <w:rPr>
          <w:rFonts w:ascii="宋体" w:eastAsia="宋体" w:hAnsi="宋体"/>
          <w:sz w:val="21"/>
          <w:szCs w:val="21"/>
        </w:rPr>
      </w:pPr>
      <w:r w:rsidRPr="000F60F0">
        <w:rPr>
          <w:rFonts w:ascii="宋体" w:eastAsia="宋体" w:hAnsi="宋体" w:hint="eastAsia"/>
          <w:noProof/>
          <w:sz w:val="21"/>
          <w:szCs w:val="21"/>
        </w:rPr>
        <w:drawing>
          <wp:inline distT="0" distB="0" distL="0" distR="0" wp14:anchorId="36D49DAE" wp14:editId="693FCA5F">
            <wp:extent cx="2479395" cy="1119225"/>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81659" cy="1120247"/>
                    </a:xfrm>
                    <a:prstGeom prst="rect">
                      <a:avLst/>
                    </a:prstGeom>
                    <a:noFill/>
                    <a:ln>
                      <a:noFill/>
                    </a:ln>
                  </pic:spPr>
                </pic:pic>
              </a:graphicData>
            </a:graphic>
          </wp:inline>
        </w:drawing>
      </w:r>
    </w:p>
    <w:p w14:paraId="73913EFB" w14:textId="24D4D7EE" w:rsidR="006C59ED" w:rsidRPr="000F60F0" w:rsidRDefault="006C59ED" w:rsidP="006C59ED">
      <w:pPr>
        <w:pStyle w:val="aa"/>
        <w:jc w:val="center"/>
        <w:rPr>
          <w:rFonts w:ascii="宋体" w:eastAsia="宋体" w:hAnsi="宋体"/>
          <w:sz w:val="21"/>
          <w:szCs w:val="21"/>
        </w:rPr>
      </w:pPr>
      <w:r w:rsidRPr="000F60F0">
        <w:rPr>
          <w:rFonts w:ascii="宋体" w:eastAsia="宋体" w:hAnsi="宋体"/>
          <w:sz w:val="21"/>
          <w:szCs w:val="21"/>
        </w:rPr>
        <w:t>图</w:t>
      </w:r>
      <w:r>
        <w:rPr>
          <w:rFonts w:ascii="宋体" w:eastAsia="宋体" w:hAnsi="宋体"/>
          <w:sz w:val="21"/>
          <w:szCs w:val="21"/>
        </w:rPr>
        <w:t xml:space="preserve"> 6</w:t>
      </w:r>
      <w:r>
        <w:rPr>
          <w:rFonts w:ascii="宋体" w:eastAsia="宋体" w:hAnsi="宋体" w:hint="eastAsia"/>
          <w:sz w:val="21"/>
          <w:szCs w:val="21"/>
        </w:rPr>
        <w:t xml:space="preserve"> </w:t>
      </w:r>
      <w:r w:rsidRPr="000F60F0">
        <w:rPr>
          <w:rFonts w:ascii="宋体" w:eastAsia="宋体" w:hAnsi="宋体" w:hint="eastAsia"/>
          <w:sz w:val="21"/>
          <w:szCs w:val="21"/>
        </w:rPr>
        <w:t>结合LSTM的股价预测模型结果</w:t>
      </w:r>
    </w:p>
    <w:p w14:paraId="262A0BB6" w14:textId="77777777"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同样地在“上证5</w:t>
      </w:r>
      <w:r w:rsidRPr="000F60F0">
        <w:rPr>
          <w:rFonts w:ascii="宋体" w:hAnsi="宋体"/>
          <w:szCs w:val="21"/>
        </w:rPr>
        <w:t>0</w:t>
      </w:r>
      <w:r w:rsidRPr="000F60F0">
        <w:rPr>
          <w:rFonts w:ascii="宋体" w:hAnsi="宋体" w:hint="eastAsia"/>
          <w:szCs w:val="21"/>
        </w:rPr>
        <w:t>”中抽取1</w:t>
      </w:r>
      <w:r w:rsidRPr="000F60F0">
        <w:rPr>
          <w:rFonts w:ascii="宋体" w:hAnsi="宋体"/>
          <w:szCs w:val="21"/>
        </w:rPr>
        <w:t>00</w:t>
      </w:r>
      <w:r w:rsidRPr="000F60F0">
        <w:rPr>
          <w:rFonts w:ascii="宋体" w:hAnsi="宋体" w:hint="eastAsia"/>
          <w:szCs w:val="21"/>
        </w:rPr>
        <w:t>个随机样本数据，可以从左图的黄蓝线看到，两线基本重合，说明预测值和真实值基本一致，右图是训练1</w:t>
      </w:r>
      <w:r w:rsidRPr="000F60F0">
        <w:rPr>
          <w:rFonts w:ascii="宋体" w:hAnsi="宋体"/>
          <w:szCs w:val="21"/>
        </w:rPr>
        <w:t>000</w:t>
      </w:r>
      <w:r w:rsidRPr="000F60F0">
        <w:rPr>
          <w:rFonts w:ascii="宋体" w:hAnsi="宋体" w:hint="eastAsia"/>
          <w:szCs w:val="21"/>
        </w:rPr>
        <w:t>次的误差收敛程度情况，从图中可见，一开始模型的误差就低于0</w:t>
      </w:r>
      <w:r w:rsidRPr="000F60F0">
        <w:rPr>
          <w:rFonts w:ascii="宋体" w:hAnsi="宋体"/>
          <w:szCs w:val="21"/>
        </w:rPr>
        <w:t>.3</w:t>
      </w:r>
      <w:r w:rsidRPr="000F60F0">
        <w:rPr>
          <w:rFonts w:ascii="宋体" w:hAnsi="宋体" w:hint="eastAsia"/>
          <w:szCs w:val="21"/>
        </w:rPr>
        <w:t>，经过训练之后，误差基本收敛于</w:t>
      </w:r>
      <w:r w:rsidRPr="000F60F0">
        <w:rPr>
          <w:rFonts w:ascii="宋体" w:hAnsi="宋体"/>
          <w:szCs w:val="21"/>
        </w:rPr>
        <w:t>0</w:t>
      </w:r>
      <w:r w:rsidRPr="000F60F0">
        <w:rPr>
          <w:rFonts w:ascii="宋体" w:hAnsi="宋体" w:hint="eastAsia"/>
          <w:szCs w:val="21"/>
        </w:rPr>
        <w:t>.</w:t>
      </w:r>
    </w:p>
    <w:p w14:paraId="36100794" w14:textId="77777777"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为了对比三个模型之间的优劣，判别不</w:t>
      </w:r>
      <w:r w:rsidRPr="000F60F0">
        <w:rPr>
          <w:rFonts w:ascii="宋体" w:hAnsi="宋体" w:hint="eastAsia"/>
          <w:szCs w:val="21"/>
        </w:rPr>
        <w:lastRenderedPageBreak/>
        <w:t>同模型的查准率和查全率，我们采用“</w:t>
      </w:r>
      <w:bookmarkStart w:id="0" w:name="OLE_LINK1"/>
      <w:r w:rsidRPr="000F60F0">
        <w:rPr>
          <w:rFonts w:ascii="宋体" w:hAnsi="宋体" w:hint="eastAsia"/>
          <w:szCs w:val="21"/>
        </w:rPr>
        <w:t>P-R</w:t>
      </w:r>
      <w:bookmarkEnd w:id="0"/>
      <w:r w:rsidRPr="000F60F0">
        <w:rPr>
          <w:rFonts w:ascii="宋体" w:hAnsi="宋体" w:hint="eastAsia"/>
          <w:szCs w:val="21"/>
        </w:rPr>
        <w:t>曲线”来显示不同股价预测模型在相同样本上的性能情况，图</w:t>
      </w:r>
      <w:r>
        <w:rPr>
          <w:rFonts w:ascii="宋体" w:hAnsi="宋体" w:hint="eastAsia"/>
          <w:szCs w:val="21"/>
        </w:rPr>
        <w:t xml:space="preserve">7 </w:t>
      </w:r>
      <w:r w:rsidRPr="000F60F0">
        <w:rPr>
          <w:rFonts w:ascii="宋体" w:hAnsi="宋体" w:hint="eastAsia"/>
          <w:szCs w:val="21"/>
        </w:rPr>
        <w:t>为不同模型在训练样本内和训练样本外的P-R曲线图</w:t>
      </w:r>
    </w:p>
    <w:p w14:paraId="1FFF9707" w14:textId="77777777" w:rsidR="006C59ED" w:rsidRPr="000F60F0" w:rsidRDefault="006C59ED" w:rsidP="006C59ED">
      <w:pPr>
        <w:adjustRightInd w:val="0"/>
        <w:snapToGrid w:val="0"/>
        <w:jc w:val="center"/>
        <w:rPr>
          <w:rFonts w:ascii="宋体" w:hAnsi="宋体"/>
          <w:szCs w:val="21"/>
        </w:rPr>
      </w:pPr>
      <w:r w:rsidRPr="000F60F0">
        <w:rPr>
          <w:rFonts w:ascii="宋体" w:hAnsi="宋体"/>
          <w:noProof/>
          <w:szCs w:val="21"/>
        </w:rPr>
        <w:drawing>
          <wp:inline distT="0" distB="0" distL="0" distR="0" wp14:anchorId="63900C8E" wp14:editId="6E74D7F0">
            <wp:extent cx="1832457" cy="18564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44261" cy="1868363"/>
                    </a:xfrm>
                    <a:prstGeom prst="rect">
                      <a:avLst/>
                    </a:prstGeom>
                    <a:noFill/>
                    <a:ln>
                      <a:noFill/>
                    </a:ln>
                  </pic:spPr>
                </pic:pic>
              </a:graphicData>
            </a:graphic>
          </wp:inline>
        </w:drawing>
      </w:r>
      <w:r w:rsidRPr="000F60F0">
        <w:rPr>
          <w:rFonts w:ascii="宋体" w:hAnsi="宋体"/>
          <w:noProof/>
          <w:szCs w:val="21"/>
        </w:rPr>
        <w:drawing>
          <wp:inline distT="0" distB="0" distL="0" distR="0" wp14:anchorId="006A0FC2" wp14:editId="069B3222">
            <wp:extent cx="1832457" cy="1856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62193" cy="1886530"/>
                    </a:xfrm>
                    <a:prstGeom prst="rect">
                      <a:avLst/>
                    </a:prstGeom>
                    <a:noFill/>
                    <a:ln>
                      <a:noFill/>
                    </a:ln>
                  </pic:spPr>
                </pic:pic>
              </a:graphicData>
            </a:graphic>
          </wp:inline>
        </w:drawing>
      </w:r>
    </w:p>
    <w:p w14:paraId="2B51AE5A" w14:textId="77777777" w:rsidR="006C59ED" w:rsidRPr="000F60F0" w:rsidRDefault="006C59ED" w:rsidP="006C59ED">
      <w:pPr>
        <w:adjustRightInd w:val="0"/>
        <w:snapToGrid w:val="0"/>
        <w:jc w:val="center"/>
        <w:rPr>
          <w:rFonts w:ascii="宋体" w:hAnsi="宋体"/>
          <w:szCs w:val="21"/>
        </w:rPr>
      </w:pPr>
      <w:r w:rsidRPr="000F60F0">
        <w:rPr>
          <w:rFonts w:ascii="宋体" w:hAnsi="宋体" w:hint="eastAsia"/>
          <w:szCs w:val="21"/>
        </w:rPr>
        <w:t>图</w:t>
      </w:r>
      <w:r>
        <w:rPr>
          <w:rFonts w:ascii="宋体" w:hAnsi="宋体" w:hint="eastAsia"/>
          <w:szCs w:val="21"/>
        </w:rPr>
        <w:t>7</w:t>
      </w:r>
      <w:r w:rsidRPr="000F60F0">
        <w:rPr>
          <w:rFonts w:ascii="宋体" w:hAnsi="宋体" w:hint="eastAsia"/>
          <w:szCs w:val="21"/>
        </w:rPr>
        <w:t>样本内外的P-R曲线图</w:t>
      </w:r>
      <w:r>
        <w:rPr>
          <w:rFonts w:ascii="宋体" w:hAnsi="宋体" w:hint="eastAsia"/>
          <w:szCs w:val="21"/>
        </w:rPr>
        <w:t xml:space="preserve">-0                                    </w:t>
      </w:r>
    </w:p>
    <w:p w14:paraId="779A7F1E" w14:textId="095BEF35"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其中绿色线代表的是使用SVM的股价预测模型，黄色线代表的是使用BPNN的股价预测模型，蓝色线是使用LSTM的股价预测模型，红色线代表的是“平衡线”即查全率等于查准率时的位置，从</w:t>
      </w:r>
      <w:r w:rsidR="00E8685F">
        <w:rPr>
          <w:rFonts w:ascii="宋体" w:hAnsi="宋体" w:hint="eastAsia"/>
          <w:szCs w:val="21"/>
        </w:rPr>
        <w:t>上</w:t>
      </w:r>
      <w:r w:rsidRPr="000F60F0">
        <w:rPr>
          <w:rFonts w:ascii="宋体" w:hAnsi="宋体" w:hint="eastAsia"/>
          <w:szCs w:val="21"/>
        </w:rPr>
        <w:t>图中可以看到，SVM模型的平衡点位置为（0</w:t>
      </w:r>
      <w:r w:rsidRPr="000F60F0">
        <w:rPr>
          <w:rFonts w:ascii="宋体" w:hAnsi="宋体"/>
          <w:szCs w:val="21"/>
        </w:rPr>
        <w:t>.58</w:t>
      </w:r>
      <w:r w:rsidRPr="000F60F0">
        <w:rPr>
          <w:rFonts w:ascii="宋体" w:hAnsi="宋体" w:hint="eastAsia"/>
          <w:szCs w:val="21"/>
        </w:rPr>
        <w:t>，0</w:t>
      </w:r>
      <w:r w:rsidRPr="000F60F0">
        <w:rPr>
          <w:rFonts w:ascii="宋体" w:hAnsi="宋体"/>
          <w:szCs w:val="21"/>
        </w:rPr>
        <w:t>.58</w:t>
      </w:r>
      <w:r w:rsidRPr="000F60F0">
        <w:rPr>
          <w:rFonts w:ascii="宋体" w:hAnsi="宋体" w:hint="eastAsia"/>
          <w:szCs w:val="21"/>
        </w:rPr>
        <w:t>），BPNN模型的平衡点位置为（0</w:t>
      </w:r>
      <w:r w:rsidRPr="000F60F0">
        <w:rPr>
          <w:rFonts w:ascii="宋体" w:hAnsi="宋体"/>
          <w:szCs w:val="21"/>
        </w:rPr>
        <w:t>.59</w:t>
      </w:r>
      <w:r w:rsidRPr="000F60F0">
        <w:rPr>
          <w:rFonts w:ascii="宋体" w:hAnsi="宋体" w:hint="eastAsia"/>
          <w:szCs w:val="21"/>
        </w:rPr>
        <w:t>，0</w:t>
      </w:r>
      <w:r w:rsidRPr="000F60F0">
        <w:rPr>
          <w:rFonts w:ascii="宋体" w:hAnsi="宋体"/>
          <w:szCs w:val="21"/>
        </w:rPr>
        <w:t>.59</w:t>
      </w:r>
      <w:r w:rsidRPr="000F60F0">
        <w:rPr>
          <w:rFonts w:ascii="宋体" w:hAnsi="宋体" w:hint="eastAsia"/>
          <w:szCs w:val="21"/>
        </w:rPr>
        <w:t>），LSTM模型的平衡点位置为（0</w:t>
      </w:r>
      <w:r w:rsidRPr="000F60F0">
        <w:rPr>
          <w:rFonts w:ascii="宋体" w:hAnsi="宋体"/>
          <w:szCs w:val="21"/>
        </w:rPr>
        <w:t>.61</w:t>
      </w:r>
      <w:r w:rsidRPr="000F60F0">
        <w:rPr>
          <w:rFonts w:ascii="宋体" w:hAnsi="宋体" w:hint="eastAsia"/>
          <w:szCs w:val="21"/>
        </w:rPr>
        <w:t>，0</w:t>
      </w:r>
      <w:r w:rsidRPr="000F60F0">
        <w:rPr>
          <w:rFonts w:ascii="宋体" w:hAnsi="宋体"/>
          <w:szCs w:val="21"/>
        </w:rPr>
        <w:t>.61</w:t>
      </w:r>
      <w:r w:rsidRPr="000F60F0">
        <w:rPr>
          <w:rFonts w:ascii="宋体" w:hAnsi="宋体" w:hint="eastAsia"/>
          <w:szCs w:val="21"/>
        </w:rPr>
        <w:t>），可见在训练样本内LSTM和BPNN的股价预测模型的性能指标比SVM较优。</w:t>
      </w:r>
    </w:p>
    <w:p w14:paraId="7D0BAC96" w14:textId="72AD3232" w:rsidR="006C59ED" w:rsidRPr="000F60F0"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从</w:t>
      </w:r>
      <w:r w:rsidR="00E8685F">
        <w:rPr>
          <w:rFonts w:ascii="宋体" w:hAnsi="宋体" w:hint="eastAsia"/>
          <w:szCs w:val="21"/>
        </w:rPr>
        <w:t>下</w:t>
      </w:r>
      <w:r w:rsidRPr="000F60F0">
        <w:rPr>
          <w:rFonts w:ascii="宋体" w:hAnsi="宋体" w:hint="eastAsia"/>
          <w:szCs w:val="21"/>
        </w:rPr>
        <w:t>图中可以看到，SVM模型的平衡点位置为（</w:t>
      </w:r>
      <w:r w:rsidRPr="000F60F0">
        <w:rPr>
          <w:rFonts w:ascii="宋体" w:hAnsi="宋体"/>
          <w:szCs w:val="21"/>
        </w:rPr>
        <w:t>0.45</w:t>
      </w:r>
      <w:r w:rsidRPr="000F60F0">
        <w:rPr>
          <w:rFonts w:ascii="宋体" w:hAnsi="宋体" w:hint="eastAsia"/>
          <w:szCs w:val="21"/>
        </w:rPr>
        <w:t>，</w:t>
      </w:r>
      <w:r w:rsidRPr="000F60F0">
        <w:rPr>
          <w:rFonts w:ascii="宋体" w:hAnsi="宋体"/>
          <w:szCs w:val="21"/>
        </w:rPr>
        <w:t>0.45</w:t>
      </w:r>
      <w:r w:rsidRPr="000F60F0">
        <w:rPr>
          <w:rFonts w:ascii="宋体" w:hAnsi="宋体" w:hint="eastAsia"/>
          <w:szCs w:val="21"/>
        </w:rPr>
        <w:t>），BPNN模型的平衡点位置为（</w:t>
      </w:r>
      <w:r w:rsidRPr="000F60F0">
        <w:rPr>
          <w:rFonts w:ascii="宋体" w:hAnsi="宋体"/>
          <w:szCs w:val="21"/>
        </w:rPr>
        <w:t>0.55</w:t>
      </w:r>
      <w:r w:rsidRPr="000F60F0">
        <w:rPr>
          <w:rFonts w:ascii="宋体" w:hAnsi="宋体" w:hint="eastAsia"/>
          <w:szCs w:val="21"/>
        </w:rPr>
        <w:t>，0</w:t>
      </w:r>
      <w:r w:rsidRPr="000F60F0">
        <w:rPr>
          <w:rFonts w:ascii="宋体" w:hAnsi="宋体"/>
          <w:szCs w:val="21"/>
        </w:rPr>
        <w:t>.55</w:t>
      </w:r>
      <w:r w:rsidRPr="000F60F0">
        <w:rPr>
          <w:rFonts w:ascii="宋体" w:hAnsi="宋体" w:hint="eastAsia"/>
          <w:szCs w:val="21"/>
        </w:rPr>
        <w:t>），LSTM模型的平衡点位置为（0</w:t>
      </w:r>
      <w:r w:rsidRPr="000F60F0">
        <w:rPr>
          <w:rFonts w:ascii="宋体" w:hAnsi="宋体"/>
          <w:szCs w:val="21"/>
        </w:rPr>
        <w:t>.62</w:t>
      </w:r>
      <w:r w:rsidRPr="000F60F0">
        <w:rPr>
          <w:rFonts w:ascii="宋体" w:hAnsi="宋体" w:hint="eastAsia"/>
          <w:szCs w:val="21"/>
        </w:rPr>
        <w:t>，0</w:t>
      </w:r>
      <w:r w:rsidRPr="000F60F0">
        <w:rPr>
          <w:rFonts w:ascii="宋体" w:hAnsi="宋体"/>
          <w:szCs w:val="21"/>
        </w:rPr>
        <w:t>.62</w:t>
      </w:r>
      <w:r w:rsidRPr="000F60F0">
        <w:rPr>
          <w:rFonts w:ascii="宋体" w:hAnsi="宋体" w:hint="eastAsia"/>
          <w:szCs w:val="21"/>
        </w:rPr>
        <w:t>），可见训练样本外的LSTM股价预测模型的泛化能力是优于SVM模型和BPNN模型</w:t>
      </w:r>
    </w:p>
    <w:p w14:paraId="43E8FF16" w14:textId="77777777" w:rsidR="006C59ED" w:rsidRDefault="006C59ED" w:rsidP="006C59ED">
      <w:pPr>
        <w:adjustRightInd w:val="0"/>
        <w:snapToGrid w:val="0"/>
        <w:ind w:firstLineChars="200" w:firstLine="420"/>
        <w:jc w:val="left"/>
        <w:rPr>
          <w:rFonts w:ascii="宋体" w:hAnsi="宋体"/>
          <w:szCs w:val="21"/>
        </w:rPr>
      </w:pPr>
      <w:r w:rsidRPr="000F60F0">
        <w:rPr>
          <w:rFonts w:ascii="宋体" w:hAnsi="宋体" w:hint="eastAsia"/>
          <w:szCs w:val="21"/>
        </w:rPr>
        <w:t>无论从性能指标还是泛化能力水平而言，LSTM模型都要更胜一筹，BPNN次之，故本文采取LSTM模型作为最终的股价预测模型，用于买卖点的决策。</w:t>
      </w:r>
    </w:p>
    <w:p w14:paraId="5B6D079F" w14:textId="77777777" w:rsidR="003366CE" w:rsidRPr="00F8238E" w:rsidRDefault="003366CE" w:rsidP="003366CE">
      <w:pPr>
        <w:adjustRightInd w:val="0"/>
        <w:snapToGrid w:val="0"/>
        <w:rPr>
          <w:rFonts w:ascii="宋体" w:hAnsi="宋体"/>
          <w:b/>
          <w:kern w:val="44"/>
          <w:szCs w:val="24"/>
        </w:rPr>
      </w:pPr>
      <w:r>
        <w:rPr>
          <w:rFonts w:ascii="宋体" w:hAnsi="宋体" w:hint="eastAsia"/>
          <w:b/>
          <w:kern w:val="44"/>
          <w:szCs w:val="24"/>
        </w:rPr>
        <w:t>5.</w:t>
      </w:r>
      <w:r w:rsidRPr="00F8238E">
        <w:rPr>
          <w:rFonts w:ascii="宋体" w:hAnsi="宋体" w:hint="eastAsia"/>
          <w:b/>
          <w:kern w:val="44"/>
          <w:szCs w:val="24"/>
        </w:rPr>
        <w:t>基于GARP多因子选股模型</w:t>
      </w:r>
    </w:p>
    <w:p w14:paraId="00CA33BC" w14:textId="77777777" w:rsidR="003366CE"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本文在构建模型的过程中，通过对各类指标进行筛选，选取了6个基本面的因子并根据价值类和成长类进行细分，具体为市盈</w:t>
      </w:r>
      <w:r w:rsidRPr="000F60F0">
        <w:rPr>
          <w:rFonts w:ascii="宋体" w:hAnsi="宋体" w:hint="eastAsia"/>
          <w:szCs w:val="21"/>
        </w:rPr>
        <w:lastRenderedPageBreak/>
        <w:t>率（PE）、</w:t>
      </w:r>
      <w:proofErr w:type="gramStart"/>
      <w:r w:rsidRPr="000F60F0">
        <w:rPr>
          <w:rFonts w:ascii="宋体" w:hAnsi="宋体" w:hint="eastAsia"/>
          <w:szCs w:val="21"/>
        </w:rPr>
        <w:t>市净率</w:t>
      </w:r>
      <w:proofErr w:type="gramEnd"/>
      <w:r w:rsidRPr="000F60F0">
        <w:rPr>
          <w:rFonts w:ascii="宋体" w:hAnsi="宋体" w:hint="eastAsia"/>
          <w:szCs w:val="21"/>
        </w:rPr>
        <w:t>（PB）、市销率（PS）、市现率（PCF）四个价值指标，基本每股收益同比增长率、营业利润同比增长率两个成长类指标</w:t>
      </w:r>
      <w:r w:rsidRPr="000F60F0">
        <w:rPr>
          <w:rFonts w:ascii="宋体" w:hAnsi="宋体" w:hint="eastAsia"/>
          <w:szCs w:val="21"/>
          <w:vertAlign w:val="superscript"/>
        </w:rPr>
        <w:t>[5]</w:t>
      </w:r>
      <w:r w:rsidRPr="000F60F0">
        <w:rPr>
          <w:rFonts w:ascii="宋体" w:hAnsi="宋体" w:hint="eastAsia"/>
          <w:szCs w:val="21"/>
        </w:rPr>
        <w:t>。</w:t>
      </w:r>
    </w:p>
    <w:p w14:paraId="682F6605"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本文选取的数据中，如果出现空值或异常数据，将用样本的平均值代替，假设</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oMath>
      <w:r w:rsidRPr="000F60F0">
        <w:rPr>
          <w:rFonts w:ascii="宋体" w:hAnsi="宋体" w:hint="eastAsia"/>
          <w:szCs w:val="21"/>
        </w:rPr>
        <w:t>为市盈率、</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proofErr w:type="gramStart"/>
      <w:r w:rsidRPr="000F60F0">
        <w:rPr>
          <w:rFonts w:ascii="宋体" w:hAnsi="宋体" w:hint="eastAsia"/>
          <w:szCs w:val="21"/>
        </w:rPr>
        <w:t>为市净率</w:t>
      </w:r>
      <w:proofErr w:type="gramEnd"/>
      <w:r w:rsidRPr="000F60F0">
        <w:rPr>
          <w:rFonts w:ascii="宋体" w:hAnsi="宋体" w:hint="eastAsia"/>
          <w:szCs w:val="21"/>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3</m:t>
            </m:r>
          </m:sub>
        </m:sSub>
      </m:oMath>
      <w:r w:rsidRPr="000F60F0">
        <w:rPr>
          <w:rFonts w:ascii="宋体" w:hAnsi="宋体" w:hint="eastAsia"/>
          <w:szCs w:val="21"/>
        </w:rPr>
        <w:t>为市销率、</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4</m:t>
            </m:r>
          </m:sub>
        </m:sSub>
      </m:oMath>
      <w:r w:rsidRPr="000F60F0">
        <w:rPr>
          <w:rFonts w:ascii="宋体" w:hAnsi="宋体" w:hint="eastAsia"/>
          <w:szCs w:val="21"/>
        </w:rPr>
        <w:t>为市现率、</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5</m:t>
            </m:r>
          </m:sub>
        </m:sSub>
      </m:oMath>
      <w:r w:rsidRPr="000F60F0">
        <w:rPr>
          <w:rFonts w:ascii="宋体" w:hAnsi="宋体" w:hint="eastAsia"/>
          <w:szCs w:val="21"/>
        </w:rPr>
        <w:t>为基本每股收益同比增长率以及</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6</m:t>
            </m:r>
          </m:sub>
        </m:sSub>
      </m:oMath>
      <w:r w:rsidRPr="000F60F0">
        <w:rPr>
          <w:rFonts w:ascii="宋体" w:hAnsi="宋体" w:hint="eastAsia"/>
          <w:szCs w:val="21"/>
        </w:rPr>
        <w:t>为营业利润同比增长率，考虑到各类的数值的差异性，如果直接用原始指标值进行分析，就会突出数值较高的指标在综合分析中的作用，相对削弱数值水平较低指标的作用不利于进行综合评分。本文先对数据进行标准化，其具体公式表现为：</w:t>
      </w:r>
    </w:p>
    <w:p w14:paraId="7D69CCE4" w14:textId="77777777" w:rsidR="003366CE" w:rsidRPr="000F60F0" w:rsidRDefault="003366CE" w:rsidP="003366CE">
      <w:pPr>
        <w:adjustRightInd w:val="0"/>
        <w:snapToGrid w:val="0"/>
        <w:jc w:val="center"/>
        <w:rPr>
          <w:rFonts w:ascii="宋体" w:hAnsi="宋体"/>
          <w:szCs w:val="21"/>
        </w:rPr>
      </w:pPr>
      <w:r w:rsidRPr="0044337B">
        <w:rPr>
          <w:position w:val="-30"/>
        </w:rPr>
        <w:object w:dxaOrig="2500" w:dyaOrig="740" w14:anchorId="26F900C9">
          <v:shape id="_x0000_i1045" type="#_x0000_t75" style="width:125pt;height:36.85pt" o:ole="">
            <v:imagedata r:id="rId50" o:title=""/>
          </v:shape>
          <o:OLEObject Type="Embed" ProgID="Equation.DSMT4" ShapeID="_x0000_i1045" DrawAspect="Content" ObjectID="_1620577094" r:id="rId51"/>
        </w:object>
      </w:r>
      <w:proofErr w:type="gramStart"/>
      <w:r>
        <w:rPr>
          <w:rFonts w:ascii="宋体" w:hAnsi="宋体" w:hint="eastAsia"/>
          <w:szCs w:val="21"/>
        </w:rPr>
        <w:t>,(</w:t>
      </w:r>
      <w:proofErr w:type="gramEnd"/>
      <w:r>
        <w:rPr>
          <w:rFonts w:ascii="宋体" w:hAnsi="宋体" w:hint="eastAsia"/>
          <w:szCs w:val="21"/>
        </w:rPr>
        <w:t>13)</w:t>
      </w:r>
    </w:p>
    <w:p w14:paraId="5EE654E4" w14:textId="77777777" w:rsidR="003366CE" w:rsidRPr="000F60F0" w:rsidRDefault="003366CE" w:rsidP="003366CE">
      <w:pPr>
        <w:adjustRightInd w:val="0"/>
        <w:snapToGrid w:val="0"/>
        <w:jc w:val="left"/>
        <w:rPr>
          <w:rFonts w:ascii="宋体" w:hAnsi="宋体"/>
          <w:szCs w:val="21"/>
        </w:rPr>
      </w:pPr>
      <w:r w:rsidRPr="000F60F0">
        <w:rPr>
          <w:rFonts w:ascii="宋体" w:hAnsi="宋体"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m:t>
            </m:r>
          </m:sup>
        </m:sSubSup>
      </m:oMath>
      <w:r w:rsidRPr="000F60F0">
        <w:rPr>
          <w:rFonts w:ascii="宋体" w:hAnsi="宋体" w:hint="eastAsia"/>
          <w:szCs w:val="21"/>
        </w:rPr>
        <w:t>为标准化后的变量值，</w:t>
      </w:r>
      <m:oMath>
        <m:acc>
          <m:accPr>
            <m:chr m:val="̅"/>
            <m:ctrlPr>
              <w:rPr>
                <w:rFonts w:ascii="Cambria Math" w:hAnsi="Cambria Math"/>
                <w:i/>
                <w:szCs w:val="21"/>
              </w:rPr>
            </m:ctrlPr>
          </m:accPr>
          <m:e>
            <m:r>
              <w:rPr>
                <w:rFonts w:ascii="Cambria Math" w:hAnsi="Cambria Math"/>
                <w:szCs w:val="21"/>
              </w:rPr>
              <m:t>X</m:t>
            </m:r>
          </m:e>
        </m:acc>
      </m:oMath>
      <w:r w:rsidRPr="000F60F0">
        <w:rPr>
          <w:rFonts w:ascii="宋体" w:hAnsi="宋体" w:hint="eastAsia"/>
          <w:szCs w:val="21"/>
        </w:rPr>
        <w:t>为变量值的标准值，</w:t>
      </w:r>
      <m:oMath>
        <m:sSub>
          <m:sSubPr>
            <m:ctrlPr>
              <w:rPr>
                <w:rFonts w:ascii="Cambria Math" w:hAnsi="Cambria Math"/>
                <w:i/>
                <w:szCs w:val="21"/>
              </w:rPr>
            </m:ctrlPr>
          </m:sSubPr>
          <m:e>
            <m:r>
              <w:rPr>
                <w:rFonts w:ascii="Cambria Math" w:hAnsi="Cambria Math"/>
                <w:szCs w:val="21"/>
              </w:rPr>
              <m:t>σ</m:t>
            </m:r>
          </m:e>
          <m:sub>
            <m:r>
              <w:rPr>
                <w:rFonts w:ascii="Cambria Math" w:hAnsi="Cambria Math" w:hint="eastAsia"/>
                <w:szCs w:val="21"/>
              </w:rPr>
              <m:t>i</m:t>
            </m:r>
          </m:sub>
        </m:sSub>
      </m:oMath>
      <w:r w:rsidRPr="000F60F0">
        <w:rPr>
          <w:rFonts w:ascii="宋体" w:hAnsi="宋体" w:hint="eastAsia"/>
          <w:szCs w:val="21"/>
        </w:rPr>
        <w:t>为变量值的标准差，</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i</m:t>
            </m:r>
          </m:sub>
        </m:sSub>
      </m:oMath>
      <w:r w:rsidRPr="000F60F0">
        <w:rPr>
          <w:rFonts w:ascii="宋体" w:hAnsi="宋体" w:hint="eastAsia"/>
          <w:szCs w:val="21"/>
        </w:rPr>
        <w:t>为变量值。</w:t>
      </w:r>
    </w:p>
    <w:p w14:paraId="455397A7"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为使得模型具有一般性，本文对各类指标赋予相同的权重。由于价值类指标与估值之间的关系为负相关，因此在进行综合评分时，本文采取价值类指标标准化后变量值得负值作为评分值，成长类指标采取标准化后的变量值作为评分值。综上所述，基于价值策略和成长策略的选股模型可以表示为：</w:t>
      </w:r>
    </w:p>
    <w:p w14:paraId="32EDBFEE" w14:textId="77777777" w:rsidR="003366CE" w:rsidRPr="000F60F0" w:rsidRDefault="003366CE" w:rsidP="003366CE">
      <w:pPr>
        <w:adjustRightInd w:val="0"/>
        <w:snapToGrid w:val="0"/>
        <w:jc w:val="center"/>
        <w:rPr>
          <w:rFonts w:ascii="宋体" w:hAnsi="宋体"/>
          <w:szCs w:val="21"/>
        </w:rPr>
      </w:pPr>
      <w:r w:rsidRPr="0044337B">
        <w:rPr>
          <w:position w:val="-34"/>
        </w:rPr>
        <w:object w:dxaOrig="4340" w:dyaOrig="800" w14:anchorId="399FD3D8">
          <v:shape id="_x0000_i1046" type="#_x0000_t75" style="width:217.15pt;height:39.75pt" o:ole="">
            <v:imagedata r:id="rId52" o:title=""/>
          </v:shape>
          <o:OLEObject Type="Embed" ProgID="Equation.DSMT4" ShapeID="_x0000_i1046" DrawAspect="Content" ObjectID="_1620577095" r:id="rId53"/>
        </w:object>
      </w:r>
      <w:proofErr w:type="gramStart"/>
      <w:r>
        <w:rPr>
          <w:rFonts w:ascii="宋体" w:hAnsi="宋体" w:hint="eastAsia"/>
          <w:szCs w:val="21"/>
        </w:rPr>
        <w:t>,(</w:t>
      </w:r>
      <w:proofErr w:type="gramEnd"/>
      <w:r>
        <w:rPr>
          <w:rFonts w:ascii="宋体" w:hAnsi="宋体" w:hint="eastAsia"/>
          <w:szCs w:val="21"/>
        </w:rPr>
        <w:t>14)</w:t>
      </w:r>
    </w:p>
    <w:p w14:paraId="65E8D444" w14:textId="77777777" w:rsidR="003366CE" w:rsidRPr="000F60F0" w:rsidRDefault="003366CE" w:rsidP="003366CE">
      <w:pPr>
        <w:adjustRightInd w:val="0"/>
        <w:snapToGrid w:val="0"/>
        <w:jc w:val="left"/>
        <w:rPr>
          <w:rFonts w:ascii="宋体" w:hAnsi="宋体"/>
          <w:szCs w:val="21"/>
        </w:rPr>
      </w:pPr>
      <w:r w:rsidRPr="000F60F0">
        <w:rPr>
          <w:rFonts w:ascii="宋体" w:hAnsi="宋体" w:hint="eastAsia"/>
          <w:szCs w:val="21"/>
        </w:rPr>
        <w:t>其中，</w:t>
      </w:r>
      <m:oMath>
        <m:r>
          <w:rPr>
            <w:rFonts w:ascii="Cambria Math" w:hAnsi="Cambria Math"/>
            <w:szCs w:val="21"/>
          </w:rPr>
          <m:t>Sco</m:t>
        </m:r>
        <m:r>
          <w:rPr>
            <w:rFonts w:ascii="Cambria Math" w:hAnsi="Cambria Math"/>
            <w:szCs w:val="21"/>
          </w:rPr>
          <m:t>re</m:t>
        </m:r>
      </m:oMath>
      <w:r w:rsidRPr="000F60F0">
        <w:rPr>
          <w:rFonts w:ascii="宋体" w:hAnsi="宋体" w:hint="eastAsia"/>
          <w:szCs w:val="21"/>
        </w:rPr>
        <w:t>为股票的综合得分，</w:t>
      </w:r>
      <m:oMath>
        <m:sSubSup>
          <m:sSubSupPr>
            <m:ctrlPr>
              <w:rPr>
                <w:rFonts w:ascii="Cambria Math" w:hAnsi="Cambria Math"/>
                <w:i/>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m:t>
            </m:r>
          </m:sup>
        </m:sSubSup>
      </m:oMath>
      <w:r w:rsidRPr="000F60F0">
        <w:rPr>
          <w:rFonts w:ascii="宋体" w:hAnsi="宋体" w:hint="eastAsia"/>
          <w:szCs w:val="21"/>
        </w:rPr>
        <w:t>为标准化后的指标值，</w:t>
      </w:r>
      <m:oMath>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i</m:t>
            </m:r>
          </m:sub>
        </m:sSub>
      </m:oMath>
      <w:r w:rsidRPr="000F60F0">
        <w:rPr>
          <w:rFonts w:ascii="宋体" w:hAnsi="宋体" w:hint="eastAsia"/>
          <w:szCs w:val="21"/>
        </w:rPr>
        <w:t>为各指标的权重。</w:t>
      </w:r>
    </w:p>
    <w:p w14:paraId="3024277F" w14:textId="77777777" w:rsidR="003366CE" w:rsidRPr="000F60F0" w:rsidRDefault="003366CE" w:rsidP="003366CE">
      <w:pPr>
        <w:adjustRightInd w:val="0"/>
        <w:snapToGrid w:val="0"/>
        <w:jc w:val="left"/>
        <w:rPr>
          <w:rFonts w:ascii="宋体" w:hAnsi="宋体"/>
          <w:szCs w:val="21"/>
        </w:rPr>
      </w:pPr>
      <w:r w:rsidRPr="000F60F0">
        <w:rPr>
          <w:rFonts w:ascii="宋体" w:hAnsi="宋体" w:hint="eastAsia"/>
          <w:szCs w:val="21"/>
        </w:rPr>
        <w:t>但是上述模型并没有考虑到风险因素。量化股票风险最为典型的模型是CAMP模型</w:t>
      </w:r>
      <w:r>
        <w:rPr>
          <w:rFonts w:ascii="宋体" w:hAnsi="宋体" w:hint="eastAsia"/>
          <w:szCs w:val="21"/>
          <w:vertAlign w:val="superscript"/>
        </w:rPr>
        <w:t>[13</w:t>
      </w:r>
      <w:r w:rsidRPr="000F60F0">
        <w:rPr>
          <w:rFonts w:ascii="宋体" w:hAnsi="宋体" w:hint="eastAsia"/>
          <w:szCs w:val="21"/>
          <w:vertAlign w:val="superscript"/>
        </w:rPr>
        <w:t>]</w:t>
      </w:r>
      <w:r w:rsidRPr="000F60F0">
        <w:rPr>
          <w:rFonts w:ascii="宋体" w:hAnsi="宋体" w:hint="eastAsia"/>
          <w:szCs w:val="21"/>
        </w:rPr>
        <w:t>，CAPM的核心思想是：在证券市场上，由于非系统风险可以通过投资多元化加以消除，所以市场参与者对该种风险不会给予收益补偿，而对预期收益产生影响的只能是无法分散的系统性风险。而且施东晖</w:t>
      </w:r>
      <w:r>
        <w:rPr>
          <w:rFonts w:ascii="宋体" w:hAnsi="宋体" w:hint="eastAsia"/>
          <w:szCs w:val="21"/>
          <w:vertAlign w:val="superscript"/>
        </w:rPr>
        <w:t>[14</w:t>
      </w:r>
      <w:r w:rsidRPr="000F60F0">
        <w:rPr>
          <w:rFonts w:ascii="宋体" w:hAnsi="宋体" w:hint="eastAsia"/>
          <w:szCs w:val="21"/>
          <w:vertAlign w:val="superscript"/>
        </w:rPr>
        <w:t>]</w:t>
      </w:r>
      <w:r w:rsidRPr="000F60F0">
        <w:rPr>
          <w:rFonts w:ascii="宋体" w:hAnsi="宋体" w:hint="eastAsia"/>
          <w:szCs w:val="21"/>
        </w:rPr>
        <w:t>在对上海股市进行风险性研究当中，股票的系统性风险占比81.37%，可以说明在上海股市系统风险占主导地位。因此，本文只考虑系统性风险，并根据CAMP模型引入</w:t>
      </w:r>
      <m:oMath>
        <m:r>
          <m:rPr>
            <m:sty m:val="p"/>
          </m:rPr>
          <w:rPr>
            <w:rFonts w:ascii="Cambria Math" w:hAnsi="Cambria Math"/>
            <w:szCs w:val="21"/>
          </w:rPr>
          <m:t>β</m:t>
        </m:r>
      </m:oMath>
      <w:r w:rsidRPr="000F60F0">
        <w:rPr>
          <w:rFonts w:ascii="宋体" w:hAnsi="宋体" w:hint="eastAsia"/>
          <w:szCs w:val="21"/>
        </w:rPr>
        <w:t>系数改进上述选股模型。</w:t>
      </w:r>
    </w:p>
    <w:p w14:paraId="760BF119" w14:textId="77777777" w:rsidR="003366CE" w:rsidRPr="000F60F0" w:rsidRDefault="003366CE" w:rsidP="003366CE">
      <w:pPr>
        <w:adjustRightInd w:val="0"/>
        <w:snapToGrid w:val="0"/>
        <w:jc w:val="center"/>
        <w:rPr>
          <w:rFonts w:ascii="宋体" w:hAnsi="宋体"/>
          <w:szCs w:val="21"/>
        </w:rPr>
      </w:pPr>
      <w:r w:rsidRPr="0044337B">
        <w:rPr>
          <w:position w:val="-28"/>
        </w:rPr>
        <w:object w:dxaOrig="1540" w:dyaOrig="660" w14:anchorId="438EE17B">
          <v:shape id="_x0000_i1047" type="#_x0000_t75" style="width:77.2pt;height:32.85pt" o:ole="">
            <v:imagedata r:id="rId54" o:title=""/>
          </v:shape>
          <o:OLEObject Type="Embed" ProgID="Equation.DSMT4" ShapeID="_x0000_i1047" DrawAspect="Content" ObjectID="_1620577096" r:id="rId55"/>
        </w:object>
      </w:r>
      <w:r>
        <w:rPr>
          <w:rFonts w:ascii="宋体" w:hAnsi="宋体"/>
          <w:szCs w:val="21"/>
        </w:rPr>
        <w:t>，（15）</w:t>
      </w:r>
    </w:p>
    <w:p w14:paraId="432D549A" w14:textId="77777777" w:rsidR="003366CE" w:rsidRPr="00F8238E" w:rsidRDefault="003366CE" w:rsidP="003366CE">
      <w:pPr>
        <w:adjustRightInd w:val="0"/>
        <w:snapToGrid w:val="0"/>
        <w:rPr>
          <w:rFonts w:ascii="宋体" w:hAnsi="宋体"/>
          <w:b/>
          <w:kern w:val="44"/>
          <w:szCs w:val="24"/>
        </w:rPr>
      </w:pPr>
      <w:r>
        <w:rPr>
          <w:rFonts w:ascii="宋体" w:hAnsi="宋体" w:hint="eastAsia"/>
          <w:b/>
          <w:kern w:val="44"/>
          <w:szCs w:val="24"/>
        </w:rPr>
        <w:t>6.</w:t>
      </w:r>
      <w:proofErr w:type="gramStart"/>
      <w:r w:rsidRPr="00F8238E">
        <w:rPr>
          <w:rFonts w:ascii="宋体" w:hAnsi="宋体" w:hint="eastAsia"/>
          <w:b/>
          <w:kern w:val="44"/>
          <w:szCs w:val="24"/>
        </w:rPr>
        <w:t>回测研究</w:t>
      </w:r>
      <w:proofErr w:type="gramEnd"/>
    </w:p>
    <w:p w14:paraId="3D136FD6"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在利用构建的选股模型选出价值被低估且高成长的股票后，本文对如何选择买卖时机作了研究。在上文中构建基于LSTM的</w:t>
      </w:r>
      <w:r w:rsidRPr="000F60F0">
        <w:rPr>
          <w:rFonts w:ascii="宋体" w:hAnsi="宋体" w:hint="eastAsia"/>
          <w:szCs w:val="21"/>
        </w:rPr>
        <w:lastRenderedPageBreak/>
        <w:t>股价预测模型进行股价预测，通过股价预测模型我们可以预测股价走势中的每个波峰和波谷，本文采取在波谷全部买入，波峰全部卖出的择时策略。在</w:t>
      </w:r>
      <w:proofErr w:type="gramStart"/>
      <w:r w:rsidRPr="000F60F0">
        <w:rPr>
          <w:rFonts w:ascii="宋体" w:hAnsi="宋体" w:hint="eastAsia"/>
          <w:szCs w:val="21"/>
        </w:rPr>
        <w:t>每个短期</w:t>
      </w:r>
      <w:proofErr w:type="gramEnd"/>
      <w:r w:rsidRPr="000F60F0">
        <w:rPr>
          <w:rFonts w:ascii="宋体" w:hAnsi="宋体" w:hint="eastAsia"/>
          <w:szCs w:val="21"/>
        </w:rPr>
        <w:t>走势中，基于</w:t>
      </w:r>
      <w:r>
        <w:rPr>
          <w:rFonts w:ascii="宋体" w:hAnsi="宋体" w:hint="eastAsia"/>
          <w:szCs w:val="21"/>
        </w:rPr>
        <w:t>LS</w:t>
      </w:r>
      <w:r w:rsidRPr="000F60F0">
        <w:rPr>
          <w:rFonts w:ascii="宋体" w:hAnsi="宋体" w:hint="eastAsia"/>
          <w:szCs w:val="21"/>
        </w:rPr>
        <w:t>TM的股价预测模型有很好的预测能力，可以解决单一选股策略中回撤率较大的问题。</w:t>
      </w:r>
    </w:p>
    <w:p w14:paraId="2DB6410E"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本文以“沪深300”作为股票池，基于2016-06-01年底至2018-08-31的基本面数据和行情数据，对基于GARP风险量化选股模型以及基于LSTM股价预测模型的量化择时策略展开实证研究。</w:t>
      </w:r>
    </w:p>
    <w:p w14:paraId="43EA8788" w14:textId="77777777" w:rsidR="003366CE" w:rsidRPr="00985BD8" w:rsidRDefault="003366CE" w:rsidP="003366CE">
      <w:pPr>
        <w:adjustRightInd w:val="0"/>
        <w:snapToGrid w:val="0"/>
        <w:jc w:val="left"/>
        <w:rPr>
          <w:rFonts w:ascii="宋体" w:hAnsi="宋体"/>
          <w:b/>
          <w:szCs w:val="21"/>
        </w:rPr>
      </w:pPr>
      <w:r>
        <w:rPr>
          <w:rFonts w:ascii="宋体" w:hAnsi="宋体" w:hint="eastAsia"/>
          <w:b/>
          <w:szCs w:val="21"/>
        </w:rPr>
        <w:t>6.1</w:t>
      </w:r>
      <w:r w:rsidRPr="00985BD8">
        <w:rPr>
          <w:rFonts w:ascii="宋体" w:hAnsi="宋体" w:hint="eastAsia"/>
          <w:b/>
          <w:szCs w:val="21"/>
        </w:rPr>
        <w:t>策略绩效评价</w:t>
      </w:r>
    </w:p>
    <w:p w14:paraId="175E5742"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通过将择时策略与选股模型结合，投资的绩效在一定程度上得到增强。本文通过</w:t>
      </w:r>
      <w:proofErr w:type="gramStart"/>
      <w:r w:rsidRPr="000F60F0">
        <w:rPr>
          <w:rFonts w:ascii="宋体" w:hAnsi="宋体" w:hint="eastAsia"/>
          <w:szCs w:val="21"/>
        </w:rPr>
        <w:t>将回测的</w:t>
      </w:r>
      <w:proofErr w:type="gramEnd"/>
      <w:r w:rsidRPr="000F60F0">
        <w:rPr>
          <w:rFonts w:ascii="宋体" w:hAnsi="宋体" w:hint="eastAsia"/>
          <w:szCs w:val="21"/>
        </w:rPr>
        <w:t>绩效与“沪深300”大盘比较来对策略进行评价。选股模型选取了综合评分排名第一的股票（工商银行see.601398）进行择时策略的回测。考虑到收益与风险的负相关性，为降低股市行情不确定风险，确保收益达到投资者的理想值。本文通过调查相关理财产品的风险值与收益率，将股票交易的止盈</w:t>
      </w:r>
      <w:proofErr w:type="gramStart"/>
      <w:r w:rsidRPr="000F60F0">
        <w:rPr>
          <w:rFonts w:ascii="宋体" w:hAnsi="宋体" w:hint="eastAsia"/>
          <w:szCs w:val="21"/>
        </w:rPr>
        <w:t>率设置</w:t>
      </w:r>
      <w:proofErr w:type="gramEnd"/>
      <w:r w:rsidRPr="000F60F0">
        <w:rPr>
          <w:rFonts w:ascii="宋体" w:hAnsi="宋体" w:hint="eastAsia"/>
          <w:szCs w:val="21"/>
        </w:rPr>
        <w:t>为50%进行回测。</w:t>
      </w:r>
    </w:p>
    <w:p w14:paraId="19463334" w14:textId="77777777" w:rsidR="003366CE" w:rsidRPr="000F60F0" w:rsidRDefault="003366CE" w:rsidP="003366CE">
      <w:pPr>
        <w:adjustRightInd w:val="0"/>
        <w:snapToGrid w:val="0"/>
        <w:jc w:val="center"/>
        <w:rPr>
          <w:rFonts w:ascii="宋体" w:hAnsi="宋体"/>
          <w:szCs w:val="21"/>
        </w:rPr>
      </w:pPr>
      <w:r w:rsidRPr="000F60F0">
        <w:rPr>
          <w:rFonts w:ascii="宋体" w:hAnsi="宋体"/>
          <w:noProof/>
          <w:szCs w:val="21"/>
        </w:rPr>
        <w:drawing>
          <wp:inline distT="0" distB="0" distL="0" distR="0" wp14:anchorId="6FEBD411" wp14:editId="2ADBD395">
            <wp:extent cx="3150069" cy="145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3162436" cy="1456405"/>
                    </a:xfrm>
                    <a:prstGeom prst="rect">
                      <a:avLst/>
                    </a:prstGeom>
                  </pic:spPr>
                </pic:pic>
              </a:graphicData>
            </a:graphic>
          </wp:inline>
        </w:drawing>
      </w:r>
    </w:p>
    <w:p w14:paraId="35271C85" w14:textId="77777777" w:rsidR="003366CE" w:rsidRPr="000F60F0" w:rsidRDefault="003366CE" w:rsidP="003366CE">
      <w:pPr>
        <w:pStyle w:val="aa"/>
        <w:jc w:val="center"/>
        <w:rPr>
          <w:rFonts w:ascii="宋体" w:eastAsia="宋体" w:hAnsi="宋体"/>
          <w:sz w:val="21"/>
          <w:szCs w:val="21"/>
        </w:rPr>
      </w:pPr>
      <w:r w:rsidRPr="000F60F0">
        <w:rPr>
          <w:rFonts w:ascii="宋体" w:eastAsia="宋体" w:hAnsi="宋体" w:hint="eastAsia"/>
          <w:sz w:val="21"/>
          <w:szCs w:val="21"/>
        </w:rPr>
        <w:t>图</w:t>
      </w:r>
      <w:r>
        <w:rPr>
          <w:rFonts w:ascii="宋体" w:eastAsia="宋体" w:hAnsi="宋体" w:hint="eastAsia"/>
          <w:sz w:val="21"/>
          <w:szCs w:val="21"/>
        </w:rPr>
        <w:t>8</w:t>
      </w:r>
      <w:r w:rsidRPr="000F60F0">
        <w:rPr>
          <w:rFonts w:ascii="宋体" w:eastAsia="宋体" w:hAnsi="宋体" w:hint="eastAsia"/>
          <w:sz w:val="21"/>
          <w:szCs w:val="21"/>
        </w:rPr>
        <w:t xml:space="preserve"> </w:t>
      </w:r>
      <w:proofErr w:type="gramStart"/>
      <w:r w:rsidRPr="000F60F0">
        <w:rPr>
          <w:rFonts w:ascii="宋体" w:eastAsia="宋体" w:hAnsi="宋体" w:hint="eastAsia"/>
          <w:sz w:val="21"/>
          <w:szCs w:val="21"/>
        </w:rPr>
        <w:t>策略回测后</w:t>
      </w:r>
      <w:proofErr w:type="gramEnd"/>
      <w:r w:rsidRPr="000F60F0">
        <w:rPr>
          <w:rFonts w:ascii="宋体" w:eastAsia="宋体" w:hAnsi="宋体" w:hint="eastAsia"/>
          <w:sz w:val="21"/>
          <w:szCs w:val="21"/>
        </w:rPr>
        <w:t>的业绩走势图</w:t>
      </w:r>
    </w:p>
    <w:p w14:paraId="387DF0DC" w14:textId="77777777" w:rsidR="003366CE" w:rsidRPr="000F60F0" w:rsidRDefault="003366CE" w:rsidP="003366CE">
      <w:pPr>
        <w:adjustRightInd w:val="0"/>
        <w:snapToGrid w:val="0"/>
        <w:ind w:firstLineChars="200" w:firstLine="420"/>
        <w:jc w:val="left"/>
        <w:rPr>
          <w:rFonts w:ascii="宋体" w:hAnsi="宋体"/>
          <w:szCs w:val="21"/>
        </w:rPr>
      </w:pPr>
      <w:proofErr w:type="gramStart"/>
      <w:r w:rsidRPr="000F60F0">
        <w:rPr>
          <w:rFonts w:ascii="宋体" w:hAnsi="宋体" w:hint="eastAsia"/>
          <w:szCs w:val="21"/>
        </w:rPr>
        <w:t>回测结果</w:t>
      </w:r>
      <w:proofErr w:type="gramEnd"/>
      <w:r w:rsidRPr="000F60F0">
        <w:rPr>
          <w:rFonts w:ascii="宋体" w:hAnsi="宋体" w:hint="eastAsia"/>
          <w:szCs w:val="21"/>
        </w:rPr>
        <w:t>如图</w:t>
      </w:r>
      <w:r w:rsidRPr="000F60F0">
        <w:rPr>
          <w:rFonts w:ascii="宋体" w:hAnsi="宋体"/>
          <w:szCs w:val="21"/>
        </w:rPr>
        <w:t>12</w:t>
      </w:r>
      <w:r w:rsidRPr="000F60F0">
        <w:rPr>
          <w:rFonts w:ascii="宋体" w:hAnsi="宋体" w:hint="eastAsia"/>
          <w:szCs w:val="21"/>
        </w:rPr>
        <w:t>所示，股票的累计收益达到了58.36%，超出期望收益率8.36%，并且将回撤率控制在了6.42%，实现了投资者在风险较小的情况下获得满意收益的愿景。</w:t>
      </w:r>
    </w:p>
    <w:p w14:paraId="528DF9E5" w14:textId="77777777" w:rsidR="003366CE" w:rsidRPr="000F60F0" w:rsidRDefault="003366CE" w:rsidP="003366CE">
      <w:pPr>
        <w:adjustRightInd w:val="0"/>
        <w:snapToGrid w:val="0"/>
        <w:ind w:firstLineChars="200" w:firstLine="420"/>
        <w:jc w:val="left"/>
        <w:rPr>
          <w:rFonts w:ascii="宋体" w:hAnsi="宋体"/>
          <w:szCs w:val="21"/>
        </w:rPr>
      </w:pPr>
      <w:r w:rsidRPr="000F60F0">
        <w:rPr>
          <w:rFonts w:ascii="宋体" w:hAnsi="宋体" w:hint="eastAsia"/>
          <w:szCs w:val="21"/>
        </w:rPr>
        <w:t>本文还通过各类收益和风险指标</w:t>
      </w:r>
      <w:proofErr w:type="gramStart"/>
      <w:r w:rsidRPr="000F60F0">
        <w:rPr>
          <w:rFonts w:ascii="宋体" w:hAnsi="宋体" w:hint="eastAsia"/>
          <w:szCs w:val="21"/>
        </w:rPr>
        <w:t>对回测结果</w:t>
      </w:r>
      <w:proofErr w:type="gramEnd"/>
      <w:r w:rsidRPr="000F60F0">
        <w:rPr>
          <w:rFonts w:ascii="宋体" w:hAnsi="宋体" w:hint="eastAsia"/>
          <w:szCs w:val="21"/>
        </w:rPr>
        <w:t>进行评价，涵盖了：</w:t>
      </w:r>
      <w:proofErr w:type="gramStart"/>
      <w:r w:rsidRPr="000F60F0">
        <w:rPr>
          <w:rFonts w:ascii="宋体" w:hAnsi="宋体" w:hint="eastAsia"/>
          <w:szCs w:val="21"/>
        </w:rPr>
        <w:t>年化收益率</w:t>
      </w:r>
      <w:proofErr w:type="gramEnd"/>
      <w:r w:rsidRPr="000F60F0">
        <w:rPr>
          <w:rFonts w:ascii="宋体" w:hAnsi="宋体" w:hint="eastAsia"/>
          <w:szCs w:val="21"/>
        </w:rPr>
        <w:t>YR、夏普比率Sharpe、信息比率IR、波动率σ、贝塔值β、最大回撤率</w:t>
      </w:r>
      <w:proofErr w:type="spellStart"/>
      <w:r w:rsidRPr="000F60F0">
        <w:rPr>
          <w:rFonts w:ascii="宋体" w:hAnsi="宋体" w:hint="eastAsia"/>
          <w:szCs w:val="21"/>
        </w:rPr>
        <w:t>MaxDD</w:t>
      </w:r>
      <w:proofErr w:type="spellEnd"/>
      <w:r w:rsidRPr="000F60F0">
        <w:rPr>
          <w:rFonts w:ascii="宋体" w:hAnsi="宋体" w:hint="eastAsia"/>
          <w:szCs w:val="21"/>
        </w:rPr>
        <w:t>以及换手率。</w:t>
      </w:r>
    </w:p>
    <w:p w14:paraId="2BB89518" w14:textId="2A1CBC49" w:rsidR="003366CE" w:rsidRDefault="00DA11EF" w:rsidP="003366CE">
      <w:pPr>
        <w:adjustRightInd w:val="0"/>
        <w:snapToGrid w:val="0"/>
        <w:jc w:val="left"/>
        <w:rPr>
          <w:rFonts w:ascii="宋体" w:hAnsi="宋体"/>
          <w:szCs w:val="21"/>
        </w:rPr>
      </w:pPr>
      <w:r>
        <w:rPr>
          <w:rFonts w:ascii="宋体" w:hAnsi="宋体"/>
          <w:noProof/>
          <w:szCs w:val="21"/>
        </w:rPr>
        <w:drawing>
          <wp:inline distT="0" distB="0" distL="0" distR="0" wp14:anchorId="5437C979" wp14:editId="5DAE695E">
            <wp:extent cx="2501900" cy="827386"/>
            <wp:effectExtent l="0" t="0" r="0" b="0"/>
            <wp:docPr id="3" name="图片 3" descr="C:\Users\什么玩意\Documents\Tencent Files\2490858189\Image\SharePic\2019051422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什么玩意\Documents\Tencent Files\2490858189\Image\SharePic\20190514220315.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501900" cy="827386"/>
                    </a:xfrm>
                    <a:prstGeom prst="rect">
                      <a:avLst/>
                    </a:prstGeom>
                    <a:noFill/>
                    <a:ln>
                      <a:noFill/>
                    </a:ln>
                  </pic:spPr>
                </pic:pic>
              </a:graphicData>
            </a:graphic>
          </wp:inline>
        </w:drawing>
      </w:r>
    </w:p>
    <w:p w14:paraId="070D2A1F" w14:textId="741B5C3E" w:rsidR="00DA11EF" w:rsidRPr="000F60F0" w:rsidRDefault="00DA11EF" w:rsidP="003366CE">
      <w:pPr>
        <w:adjustRightInd w:val="0"/>
        <w:snapToGrid w:val="0"/>
        <w:jc w:val="left"/>
        <w:rPr>
          <w:rFonts w:ascii="宋体" w:hAnsi="宋体"/>
          <w:szCs w:val="21"/>
        </w:rPr>
      </w:pPr>
      <w:r>
        <w:rPr>
          <w:rFonts w:ascii="宋体" w:hAnsi="宋体"/>
          <w:noProof/>
          <w:szCs w:val="21"/>
        </w:rPr>
        <w:lastRenderedPageBreak/>
        <w:drawing>
          <wp:inline distT="0" distB="0" distL="0" distR="0" wp14:anchorId="48C17A4E" wp14:editId="0988DB54">
            <wp:extent cx="2501900" cy="911283"/>
            <wp:effectExtent l="0" t="0" r="0" b="3175"/>
            <wp:docPr id="4" name="图片 4" descr="C:\Users\什么玩意\Documents\Tencent Files\2490858189\Image\SharePic\20190514220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什么玩意\Documents\Tencent Files\2490858189\Image\SharePic\20190514220408.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01900" cy="911283"/>
                    </a:xfrm>
                    <a:prstGeom prst="rect">
                      <a:avLst/>
                    </a:prstGeom>
                    <a:noFill/>
                    <a:ln>
                      <a:noFill/>
                    </a:ln>
                  </pic:spPr>
                </pic:pic>
              </a:graphicData>
            </a:graphic>
          </wp:inline>
        </w:drawing>
      </w:r>
    </w:p>
    <w:p w14:paraId="633C7775" w14:textId="77777777" w:rsidR="003366CE" w:rsidRPr="000F60F0" w:rsidRDefault="003366CE" w:rsidP="003366CE">
      <w:pPr>
        <w:pStyle w:val="aa"/>
        <w:jc w:val="center"/>
        <w:rPr>
          <w:rFonts w:ascii="宋体" w:eastAsia="宋体" w:hAnsi="宋体"/>
          <w:sz w:val="21"/>
          <w:szCs w:val="21"/>
        </w:rPr>
      </w:pPr>
      <w:r w:rsidRPr="000F60F0">
        <w:rPr>
          <w:rFonts w:ascii="宋体" w:eastAsia="宋体" w:hAnsi="宋体" w:hint="eastAsia"/>
          <w:sz w:val="21"/>
          <w:szCs w:val="21"/>
        </w:rPr>
        <w:t>图</w:t>
      </w:r>
      <w:r>
        <w:rPr>
          <w:rFonts w:ascii="宋体" w:eastAsia="宋体" w:hAnsi="宋体" w:hint="eastAsia"/>
          <w:sz w:val="21"/>
          <w:szCs w:val="21"/>
        </w:rPr>
        <w:t>9</w:t>
      </w:r>
      <w:r w:rsidRPr="000F60F0">
        <w:rPr>
          <w:rFonts w:ascii="宋体" w:eastAsia="宋体" w:hAnsi="宋体" w:hint="eastAsia"/>
          <w:sz w:val="21"/>
          <w:szCs w:val="21"/>
        </w:rPr>
        <w:t xml:space="preserve"> </w:t>
      </w:r>
      <w:proofErr w:type="gramStart"/>
      <w:r w:rsidRPr="000F60F0">
        <w:rPr>
          <w:rFonts w:ascii="宋体" w:eastAsia="宋体" w:hAnsi="宋体" w:hint="eastAsia"/>
          <w:sz w:val="21"/>
          <w:szCs w:val="21"/>
        </w:rPr>
        <w:t>策略回测后</w:t>
      </w:r>
      <w:proofErr w:type="gramEnd"/>
      <w:r w:rsidRPr="000F60F0">
        <w:rPr>
          <w:rFonts w:ascii="宋体" w:eastAsia="宋体" w:hAnsi="宋体" w:hint="eastAsia"/>
          <w:sz w:val="21"/>
          <w:szCs w:val="21"/>
        </w:rPr>
        <w:t>的各类指标</w:t>
      </w:r>
    </w:p>
    <w:p w14:paraId="6B4D6FED" w14:textId="49AAED64" w:rsidR="00C73282" w:rsidRDefault="003366CE" w:rsidP="00C73282">
      <w:pPr>
        <w:adjustRightInd w:val="0"/>
        <w:snapToGrid w:val="0"/>
        <w:ind w:firstLineChars="200" w:firstLine="420"/>
        <w:jc w:val="left"/>
        <w:rPr>
          <w:rFonts w:ascii="宋体" w:hAnsi="宋体"/>
          <w:szCs w:val="21"/>
        </w:rPr>
      </w:pPr>
      <w:r w:rsidRPr="000F60F0">
        <w:rPr>
          <w:rFonts w:ascii="宋体" w:hAnsi="宋体" w:hint="eastAsia"/>
          <w:szCs w:val="21"/>
        </w:rPr>
        <w:t>阿</w:t>
      </w:r>
      <w:proofErr w:type="gramStart"/>
      <w:r w:rsidRPr="000F60F0">
        <w:rPr>
          <w:rFonts w:ascii="宋体" w:hAnsi="宋体" w:hint="eastAsia"/>
          <w:szCs w:val="21"/>
        </w:rPr>
        <w:t>尔法值大于</w:t>
      </w:r>
      <w:proofErr w:type="gramEnd"/>
      <w:r w:rsidRPr="000F60F0">
        <w:rPr>
          <w:rFonts w:ascii="宋体" w:hAnsi="宋体" w:hint="eastAsia"/>
          <w:szCs w:val="21"/>
        </w:rPr>
        <w:t>0表示该策略具有获得超额收益的能力，贝塔值远小于0.8说明策略受市场影响较小，不易遭受市场风险的冲击，在实验中表现为不易追随大盘波动，在震荡市和熊市时策略有更佳的表现。夏普比率表示获得收益的稳定程度，大于1的夏普比率表示该策略具有很好的获利能力。小于0.15的最大回撤表明该策略具有较好的抗风险能力，安全性较高。结合收益率分析，该策略基本上实现了安全、稳健、高收益。</w:t>
      </w:r>
    </w:p>
    <w:p w14:paraId="52E0DE27" w14:textId="30F2BD1B" w:rsidR="003366CE" w:rsidRPr="00C73282" w:rsidRDefault="003366CE" w:rsidP="00C73282">
      <w:pPr>
        <w:adjustRightInd w:val="0"/>
        <w:snapToGrid w:val="0"/>
        <w:jc w:val="left"/>
        <w:rPr>
          <w:rFonts w:ascii="宋体" w:hAnsi="宋体"/>
          <w:szCs w:val="21"/>
        </w:rPr>
      </w:pPr>
      <w:r>
        <w:rPr>
          <w:rFonts w:ascii="宋体" w:hAnsi="宋体" w:hint="eastAsia"/>
          <w:b/>
          <w:kern w:val="44"/>
          <w:szCs w:val="24"/>
        </w:rPr>
        <w:lastRenderedPageBreak/>
        <w:t>7.</w:t>
      </w:r>
      <w:r w:rsidRPr="00F8238E">
        <w:rPr>
          <w:rFonts w:ascii="宋体" w:hAnsi="宋体" w:hint="eastAsia"/>
          <w:b/>
          <w:kern w:val="44"/>
          <w:szCs w:val="24"/>
        </w:rPr>
        <w:t>结论</w:t>
      </w:r>
    </w:p>
    <w:p w14:paraId="5F18DCAC" w14:textId="0B4A2736" w:rsidR="007F1E75" w:rsidRPr="00C73282" w:rsidRDefault="003366CE" w:rsidP="00C73282">
      <w:pPr>
        <w:adjustRightInd w:val="0"/>
        <w:snapToGrid w:val="0"/>
        <w:jc w:val="left"/>
        <w:rPr>
          <w:rFonts w:ascii="宋体" w:hAnsi="宋体"/>
          <w:szCs w:val="21"/>
        </w:rPr>
        <w:sectPr w:rsidR="007F1E75" w:rsidRPr="00C73282" w:rsidSect="00C30EA2">
          <w:type w:val="continuous"/>
          <w:pgSz w:w="11906" w:h="16838"/>
          <w:pgMar w:top="1440" w:right="1800" w:bottom="1440" w:left="1800" w:header="851" w:footer="992" w:gutter="0"/>
          <w:cols w:num="2" w:space="425"/>
          <w:docGrid w:type="lines" w:linePitch="312"/>
        </w:sectPr>
      </w:pPr>
      <w:r w:rsidRPr="000F60F0">
        <w:rPr>
          <w:rFonts w:ascii="宋体" w:hAnsi="宋体" w:hint="eastAsia"/>
          <w:szCs w:val="21"/>
        </w:rPr>
        <w:t>本文利用较少的因子解释股价的变动，采用长短时神经网络捕捉影响股价变动因子的非线性表达。</w:t>
      </w:r>
      <w:r w:rsidRPr="000F60F0">
        <w:rPr>
          <w:rFonts w:ascii="宋体" w:hAnsi="宋体"/>
          <w:szCs w:val="21"/>
        </w:rPr>
        <w:t>通过对</w:t>
      </w:r>
      <w:r w:rsidRPr="000F60F0">
        <w:rPr>
          <w:rFonts w:ascii="宋体" w:hAnsi="宋体" w:hint="eastAsia"/>
          <w:szCs w:val="21"/>
        </w:rPr>
        <w:t>上证50的成分股的数据进行训练</w:t>
      </w:r>
      <w:r w:rsidRPr="000F60F0">
        <w:rPr>
          <w:rFonts w:ascii="宋体" w:hAnsi="宋体"/>
          <w:szCs w:val="21"/>
        </w:rPr>
        <w:t>, 同时与一些参比模型比较, 结果</w:t>
      </w:r>
      <w:r w:rsidRPr="000F60F0">
        <w:rPr>
          <w:rFonts w:ascii="宋体" w:hAnsi="宋体" w:hint="eastAsia"/>
          <w:szCs w:val="21"/>
        </w:rPr>
        <w:t>表</w:t>
      </w:r>
      <w:r w:rsidRPr="000F60F0">
        <w:rPr>
          <w:rFonts w:ascii="宋体" w:hAnsi="宋体"/>
          <w:szCs w:val="21"/>
        </w:rPr>
        <w:t>明:</w:t>
      </w:r>
      <w:r w:rsidRPr="000F60F0">
        <w:rPr>
          <w:rFonts w:ascii="宋体" w:hAnsi="宋体" w:hint="eastAsia"/>
          <w:szCs w:val="21"/>
        </w:rPr>
        <w:t>LSTM股价预测</w:t>
      </w:r>
      <w:r w:rsidRPr="000F60F0">
        <w:rPr>
          <w:rFonts w:ascii="宋体" w:hAnsi="宋体"/>
          <w:szCs w:val="21"/>
        </w:rPr>
        <w:t>模型在预测过程</w:t>
      </w:r>
      <w:proofErr w:type="gramStart"/>
      <w:r w:rsidRPr="000F60F0">
        <w:rPr>
          <w:rFonts w:ascii="宋体" w:hAnsi="宋体"/>
          <w:szCs w:val="21"/>
        </w:rPr>
        <w:t>中较各参</w:t>
      </w:r>
      <w:proofErr w:type="gramEnd"/>
      <w:r w:rsidRPr="000F60F0">
        <w:rPr>
          <w:rFonts w:ascii="宋体" w:hAnsi="宋体"/>
          <w:szCs w:val="21"/>
        </w:rPr>
        <w:t>比模型具有更高的预测精度。</w:t>
      </w:r>
      <w:r w:rsidRPr="000F60F0">
        <w:rPr>
          <w:rFonts w:ascii="宋体" w:hAnsi="宋体" w:hint="eastAsia"/>
          <w:szCs w:val="21"/>
        </w:rPr>
        <w:t>本文结合LSTM股价预测模型和GARP选股策略并在沪深</w:t>
      </w:r>
      <w:proofErr w:type="gramStart"/>
      <w:r w:rsidRPr="000F60F0">
        <w:rPr>
          <w:rFonts w:ascii="宋体" w:hAnsi="宋体" w:hint="eastAsia"/>
          <w:szCs w:val="21"/>
        </w:rPr>
        <w:t>300成</w:t>
      </w:r>
      <w:proofErr w:type="gramEnd"/>
      <w:r w:rsidRPr="000F60F0">
        <w:rPr>
          <w:rFonts w:ascii="宋体" w:hAnsi="宋体" w:hint="eastAsia"/>
          <w:szCs w:val="21"/>
        </w:rPr>
        <w:t>分股进行回测，</w:t>
      </w:r>
      <w:proofErr w:type="gramStart"/>
      <w:r w:rsidRPr="000F60F0">
        <w:rPr>
          <w:rFonts w:ascii="宋体" w:hAnsi="宋体" w:hint="eastAsia"/>
          <w:szCs w:val="21"/>
        </w:rPr>
        <w:t>回测结果</w:t>
      </w:r>
      <w:proofErr w:type="gramEnd"/>
      <w:r w:rsidRPr="000F60F0">
        <w:rPr>
          <w:rFonts w:ascii="宋体" w:hAnsi="宋体" w:hint="eastAsia"/>
          <w:szCs w:val="21"/>
        </w:rPr>
        <w:t>表明本文建立的模型在指导投资者进行股票投资方面具有很强的指导能力。</w:t>
      </w:r>
      <w:r>
        <w:rPr>
          <w:rFonts w:ascii="宋体" w:hAnsi="宋体" w:hint="eastAsia"/>
          <w:szCs w:val="21"/>
        </w:rPr>
        <w:t>并且该模型</w:t>
      </w:r>
      <w:r w:rsidRPr="000F60F0">
        <w:rPr>
          <w:rFonts w:ascii="宋体" w:hAnsi="宋体" w:hint="eastAsia"/>
          <w:szCs w:val="21"/>
        </w:rPr>
        <w:t>可以应用在其他时间序列的数据，如期货、投资基金等领域以及气候变化、水质监控等方面。但是，由于本文只是选取少量具有代</w:t>
      </w:r>
      <w:r w:rsidR="00C73282">
        <w:rPr>
          <w:rFonts w:ascii="宋体" w:hAnsi="宋体" w:hint="eastAsia"/>
          <w:szCs w:val="21"/>
        </w:rPr>
        <w:t>表性的因子对股价的变动进行解释，不排除具有其他因子表现能力更好</w:t>
      </w:r>
    </w:p>
    <w:p w14:paraId="533F45CA" w14:textId="386BF7A5" w:rsidR="00826AFF" w:rsidRDefault="00826AFF" w:rsidP="004B00DE">
      <w:pPr>
        <w:adjustRightInd w:val="0"/>
        <w:snapToGrid w:val="0"/>
      </w:pPr>
    </w:p>
    <w:p w14:paraId="1E3079BA" w14:textId="5AD86485" w:rsidR="004B00DE" w:rsidRDefault="004B00DE" w:rsidP="004B00DE">
      <w:pPr>
        <w:adjustRightInd w:val="0"/>
        <w:snapToGrid w:val="0"/>
        <w:rPr>
          <w:rFonts w:ascii="黑体" w:eastAsia="黑体" w:hAnsi="黑体"/>
          <w:b/>
        </w:rPr>
      </w:pPr>
      <w:r w:rsidRPr="00C8064C">
        <w:rPr>
          <w:rFonts w:ascii="黑体" w:eastAsia="黑体" w:hAnsi="黑体" w:hint="eastAsia"/>
          <w:b/>
        </w:rPr>
        <w:t>参考文献：</w:t>
      </w:r>
    </w:p>
    <w:p w14:paraId="26AE5DCC" w14:textId="77777777" w:rsidR="007D01C7" w:rsidRPr="000F60F0" w:rsidRDefault="007D01C7" w:rsidP="007D01C7">
      <w:pPr>
        <w:pStyle w:val="a8"/>
        <w:numPr>
          <w:ilvl w:val="0"/>
          <w:numId w:val="4"/>
        </w:numPr>
        <w:adjustRightInd w:val="0"/>
        <w:snapToGrid w:val="0"/>
        <w:ind w:firstLineChars="0"/>
        <w:rPr>
          <w:rFonts w:ascii="宋体" w:hAnsi="宋体"/>
          <w:szCs w:val="21"/>
        </w:rPr>
      </w:pPr>
      <w:r w:rsidRPr="000F60F0">
        <w:rPr>
          <w:rFonts w:ascii="宋体" w:hAnsi="宋体"/>
          <w:szCs w:val="21"/>
        </w:rPr>
        <w:t>GriffinJ.M.AretheFamaandFactorsGlobalorCountrySpecific?[J].ReviewofFinancialStudies，2002</w:t>
      </w:r>
      <w:r w:rsidRPr="000F60F0">
        <w:rPr>
          <w:rFonts w:ascii="宋体" w:hAnsi="宋体" w:hint="eastAsia"/>
          <w:szCs w:val="21"/>
        </w:rPr>
        <w:t>，</w:t>
      </w:r>
      <w:r w:rsidRPr="000F60F0">
        <w:rPr>
          <w:rFonts w:ascii="宋体" w:hAnsi="宋体"/>
          <w:szCs w:val="21"/>
        </w:rPr>
        <w:t>15(3)：783-803</w:t>
      </w:r>
    </w:p>
    <w:p w14:paraId="0A513181" w14:textId="77777777" w:rsidR="007D01C7" w:rsidRPr="000F60F0" w:rsidRDefault="007D01C7" w:rsidP="007D01C7">
      <w:pPr>
        <w:pStyle w:val="a8"/>
        <w:numPr>
          <w:ilvl w:val="0"/>
          <w:numId w:val="4"/>
        </w:numPr>
        <w:adjustRightInd w:val="0"/>
        <w:snapToGrid w:val="0"/>
        <w:ind w:firstLineChars="0"/>
        <w:rPr>
          <w:rFonts w:ascii="宋体" w:hAnsi="宋体"/>
          <w:szCs w:val="21"/>
        </w:rPr>
      </w:pPr>
      <w:proofErr w:type="gramStart"/>
      <w:r w:rsidRPr="000F60F0">
        <w:rPr>
          <w:rFonts w:ascii="宋体" w:hAnsi="宋体"/>
          <w:szCs w:val="21"/>
        </w:rPr>
        <w:t>田利辉</w:t>
      </w:r>
      <w:proofErr w:type="gramEnd"/>
      <w:r w:rsidRPr="000F60F0">
        <w:rPr>
          <w:rFonts w:ascii="宋体" w:hAnsi="宋体"/>
          <w:szCs w:val="21"/>
        </w:rPr>
        <w:t>，王冠英，张伟.三因素模型定价：中国与美国有何不同?[J].国际金融研究，2014(7)：37-45.</w:t>
      </w:r>
    </w:p>
    <w:p w14:paraId="67E4E5E5" w14:textId="77777777" w:rsidR="007D01C7" w:rsidRPr="00431344" w:rsidRDefault="007D01C7" w:rsidP="007D01C7">
      <w:pPr>
        <w:pStyle w:val="a8"/>
        <w:numPr>
          <w:ilvl w:val="0"/>
          <w:numId w:val="4"/>
        </w:numPr>
        <w:adjustRightInd w:val="0"/>
        <w:snapToGrid w:val="0"/>
        <w:ind w:firstLineChars="0"/>
        <w:rPr>
          <w:rFonts w:ascii="宋体" w:hAnsi="宋体"/>
          <w:szCs w:val="21"/>
        </w:rPr>
      </w:pPr>
      <w:r w:rsidRPr="00431344">
        <w:rPr>
          <w:rFonts w:ascii="宋体" w:hAnsi="宋体"/>
          <w:szCs w:val="21"/>
        </w:rPr>
        <w:t>[10] 白羽</w:t>
      </w:r>
      <w:r>
        <w:rPr>
          <w:rFonts w:ascii="宋体" w:hAnsi="宋体"/>
          <w:szCs w:val="21"/>
        </w:rPr>
        <w:t>.</w:t>
      </w:r>
      <w:hyperlink r:id="rId59" w:tgtFrame="_blank" w:history="1">
        <w:r w:rsidRPr="00431344">
          <w:rPr>
            <w:rFonts w:ascii="宋体" w:hAnsi="宋体"/>
            <w:szCs w:val="21"/>
          </w:rPr>
          <w:t>公司估值模型-剩余收益估值模型与折现现金流量模型、股利贴现模型的比较</w:t>
        </w:r>
      </w:hyperlink>
      <w:r w:rsidRPr="00431344">
        <w:rPr>
          <w:rFonts w:ascii="宋体" w:hAnsi="宋体"/>
          <w:szCs w:val="21"/>
        </w:rPr>
        <w:t>[J].</w:t>
      </w:r>
      <w:proofErr w:type="gramStart"/>
      <w:r w:rsidRPr="00431344">
        <w:rPr>
          <w:rFonts w:ascii="宋体" w:hAnsi="宋体"/>
          <w:szCs w:val="21"/>
        </w:rPr>
        <w:t>智富时代</w:t>
      </w:r>
      <w:proofErr w:type="gramEnd"/>
      <w:r w:rsidRPr="00431344">
        <w:rPr>
          <w:rFonts w:ascii="宋体" w:hAnsi="宋体"/>
          <w:szCs w:val="21"/>
        </w:rPr>
        <w:t>. 2018(04)</w:t>
      </w:r>
    </w:p>
    <w:p w14:paraId="53547FB2" w14:textId="77777777" w:rsidR="007D01C7" w:rsidRPr="000F60F0" w:rsidRDefault="007D01C7" w:rsidP="007D01C7">
      <w:pPr>
        <w:pStyle w:val="a8"/>
        <w:numPr>
          <w:ilvl w:val="0"/>
          <w:numId w:val="4"/>
        </w:numPr>
        <w:ind w:firstLineChars="0"/>
        <w:rPr>
          <w:rFonts w:ascii="宋体" w:hAnsi="宋体" w:cs="宋体"/>
          <w:kern w:val="0"/>
          <w:szCs w:val="21"/>
        </w:rPr>
      </w:pPr>
      <w:proofErr w:type="gramStart"/>
      <w:r w:rsidRPr="000F60F0">
        <w:rPr>
          <w:rFonts w:ascii="宋体" w:hAnsi="宋体" w:cs="宋体"/>
          <w:kern w:val="0"/>
          <w:szCs w:val="21"/>
        </w:rPr>
        <w:t>侯丹</w:t>
      </w:r>
      <w:proofErr w:type="gramEnd"/>
      <w:r w:rsidRPr="000F60F0">
        <w:rPr>
          <w:rFonts w:ascii="宋体" w:hAnsi="宋体" w:cs="宋体"/>
          <w:kern w:val="0"/>
          <w:szCs w:val="21"/>
        </w:rPr>
        <w:t>.股票估值方法分析[J].</w:t>
      </w:r>
      <w:proofErr w:type="gramStart"/>
      <w:r w:rsidRPr="000F60F0">
        <w:rPr>
          <w:rFonts w:ascii="宋体" w:hAnsi="宋体" w:cs="宋体"/>
          <w:kern w:val="0"/>
          <w:szCs w:val="21"/>
        </w:rPr>
        <w:t>中国商论</w:t>
      </w:r>
      <w:proofErr w:type="gramEnd"/>
      <w:r w:rsidRPr="000F60F0">
        <w:rPr>
          <w:rFonts w:ascii="宋体" w:hAnsi="宋体" w:cs="宋体"/>
          <w:kern w:val="0"/>
          <w:szCs w:val="21"/>
        </w:rPr>
        <w:t>,2016(21):89-90.</w:t>
      </w:r>
    </w:p>
    <w:p w14:paraId="6BB3B304" w14:textId="77777777" w:rsidR="007D01C7" w:rsidRPr="000F60F0" w:rsidRDefault="007D01C7" w:rsidP="007D01C7">
      <w:pPr>
        <w:pStyle w:val="a8"/>
        <w:numPr>
          <w:ilvl w:val="0"/>
          <w:numId w:val="4"/>
        </w:numPr>
        <w:ind w:firstLineChars="0"/>
        <w:rPr>
          <w:rFonts w:ascii="宋体" w:hAnsi="宋体" w:cs="宋体"/>
          <w:kern w:val="0"/>
          <w:szCs w:val="21"/>
        </w:rPr>
      </w:pPr>
      <w:r w:rsidRPr="00431344">
        <w:rPr>
          <w:rFonts w:ascii="宋体" w:hAnsi="宋体" w:cs="宋体"/>
          <w:kern w:val="0"/>
          <w:szCs w:val="21"/>
        </w:rPr>
        <w:t>杨宝,庄恒,甘孜露. 中国证券市场“现金股利之谜”——基于1990～2015年上市公司分红数据的考察[J]. 证券市场导报,2017(09):26-32.</w:t>
      </w:r>
    </w:p>
    <w:p w14:paraId="67E79B1C" w14:textId="77777777" w:rsidR="007D01C7" w:rsidRPr="000F60F0" w:rsidRDefault="007D01C7" w:rsidP="007D01C7">
      <w:pPr>
        <w:pStyle w:val="a8"/>
        <w:numPr>
          <w:ilvl w:val="0"/>
          <w:numId w:val="4"/>
        </w:numPr>
        <w:ind w:firstLineChars="0"/>
        <w:rPr>
          <w:rFonts w:ascii="宋体" w:hAnsi="宋体" w:cs="宋体"/>
          <w:kern w:val="0"/>
          <w:szCs w:val="21"/>
        </w:rPr>
      </w:pPr>
      <w:r w:rsidRPr="000F60F0">
        <w:rPr>
          <w:rFonts w:ascii="宋体" w:hAnsi="宋体" w:cs="宋体"/>
          <w:kern w:val="0"/>
          <w:szCs w:val="21"/>
        </w:rPr>
        <w:t>谢丁.</w:t>
      </w:r>
      <w:r w:rsidRPr="000F60F0">
        <w:rPr>
          <w:rFonts w:ascii="宋体" w:hAnsi="宋体"/>
          <w:szCs w:val="21"/>
        </w:rPr>
        <w:t xml:space="preserve"> </w:t>
      </w:r>
      <w:r w:rsidRPr="000F60F0">
        <w:rPr>
          <w:rFonts w:ascii="宋体" w:hAnsi="宋体" w:cs="宋体"/>
          <w:kern w:val="0"/>
          <w:szCs w:val="21"/>
        </w:rPr>
        <w:t>趋向类技术分析指标的实证研究及评测[J]. 金融经济. 2009(22)</w:t>
      </w:r>
    </w:p>
    <w:p w14:paraId="3B366859" w14:textId="77777777" w:rsidR="007D01C7" w:rsidRPr="000F60F0" w:rsidRDefault="007D01C7" w:rsidP="007D01C7">
      <w:pPr>
        <w:pStyle w:val="a8"/>
        <w:numPr>
          <w:ilvl w:val="0"/>
          <w:numId w:val="4"/>
        </w:numPr>
        <w:ind w:firstLineChars="0"/>
        <w:rPr>
          <w:rFonts w:ascii="宋体" w:hAnsi="宋体" w:cs="宋体"/>
          <w:kern w:val="0"/>
          <w:szCs w:val="21"/>
        </w:rPr>
      </w:pPr>
      <w:r w:rsidRPr="000F60F0">
        <w:rPr>
          <w:rFonts w:ascii="宋体" w:hAnsi="宋体" w:cs="宋体"/>
          <w:kern w:val="0"/>
          <w:szCs w:val="21"/>
        </w:rPr>
        <w:t>谢丁.</w:t>
      </w:r>
      <w:r w:rsidRPr="000F60F0">
        <w:rPr>
          <w:rFonts w:ascii="宋体" w:hAnsi="宋体"/>
          <w:szCs w:val="21"/>
        </w:rPr>
        <w:t xml:space="preserve"> </w:t>
      </w:r>
      <w:r w:rsidRPr="000F60F0">
        <w:rPr>
          <w:rFonts w:ascii="宋体" w:hAnsi="宋体" w:cs="宋体"/>
          <w:kern w:val="0"/>
          <w:szCs w:val="21"/>
        </w:rPr>
        <w:t>反趋向类技术分析指标的实证研究及评测[J]. 黑龙江金融. 2011(03)</w:t>
      </w:r>
    </w:p>
    <w:p w14:paraId="314DFCBE" w14:textId="77777777" w:rsidR="007D01C7" w:rsidRPr="000F60F0" w:rsidRDefault="007D01C7" w:rsidP="007D01C7">
      <w:pPr>
        <w:pStyle w:val="a8"/>
        <w:numPr>
          <w:ilvl w:val="0"/>
          <w:numId w:val="4"/>
        </w:numPr>
        <w:ind w:firstLineChars="0"/>
        <w:rPr>
          <w:rFonts w:ascii="宋体" w:hAnsi="宋体" w:cs="宋体"/>
          <w:kern w:val="0"/>
          <w:szCs w:val="21"/>
        </w:rPr>
      </w:pPr>
      <w:proofErr w:type="gramStart"/>
      <w:r w:rsidRPr="000F60F0">
        <w:rPr>
          <w:rFonts w:ascii="宋体" w:hAnsi="宋体" w:cs="宋体"/>
          <w:kern w:val="0"/>
          <w:szCs w:val="21"/>
        </w:rPr>
        <w:t>刘叶玲,高玲</w:t>
      </w:r>
      <w:proofErr w:type="gramEnd"/>
      <w:r w:rsidRPr="000F60F0">
        <w:rPr>
          <w:rFonts w:ascii="宋体" w:hAnsi="宋体" w:cs="宋体"/>
          <w:kern w:val="0"/>
          <w:szCs w:val="21"/>
        </w:rPr>
        <w:t>.利用技术指标及多元回归模型预测股票价格[J].技术与创新管理,2010,31(02):235-237.</w:t>
      </w:r>
    </w:p>
    <w:p w14:paraId="17E5D9C5" w14:textId="77777777" w:rsidR="007D01C7" w:rsidRPr="000F60F0" w:rsidRDefault="007D01C7" w:rsidP="007D01C7">
      <w:pPr>
        <w:pStyle w:val="a8"/>
        <w:numPr>
          <w:ilvl w:val="0"/>
          <w:numId w:val="4"/>
        </w:numPr>
        <w:ind w:firstLineChars="0"/>
        <w:rPr>
          <w:rFonts w:ascii="宋体" w:hAnsi="宋体" w:cs="宋体"/>
          <w:kern w:val="0"/>
          <w:szCs w:val="21"/>
        </w:rPr>
      </w:pPr>
      <w:proofErr w:type="gramStart"/>
      <w:r w:rsidRPr="000F60F0">
        <w:rPr>
          <w:rFonts w:ascii="宋体" w:hAnsi="宋体" w:cs="宋体"/>
          <w:kern w:val="0"/>
          <w:szCs w:val="21"/>
        </w:rPr>
        <w:t>应尚军</w:t>
      </w:r>
      <w:proofErr w:type="gramEnd"/>
      <w:r w:rsidRPr="000F60F0">
        <w:rPr>
          <w:rFonts w:ascii="宋体" w:hAnsi="宋体" w:cs="宋体"/>
          <w:kern w:val="0"/>
          <w:szCs w:val="21"/>
        </w:rPr>
        <w:t>,魏一鸣,范英,汪秉宏.基于元胞自动机的股票市场复杂性研究——投资者心理与市场行为[J].系统工程理论与实践,2003(12):18-24+31</w:t>
      </w:r>
    </w:p>
    <w:p w14:paraId="67E01EC0" w14:textId="77777777" w:rsidR="007D01C7" w:rsidRDefault="007D01C7" w:rsidP="007D01C7">
      <w:pPr>
        <w:pStyle w:val="a8"/>
        <w:numPr>
          <w:ilvl w:val="0"/>
          <w:numId w:val="4"/>
        </w:numPr>
        <w:ind w:firstLineChars="0"/>
        <w:rPr>
          <w:rFonts w:ascii="宋体" w:hAnsi="宋体" w:cs="宋体"/>
          <w:kern w:val="0"/>
          <w:szCs w:val="21"/>
        </w:rPr>
      </w:pPr>
      <w:r>
        <w:rPr>
          <w:rFonts w:ascii="宋体" w:hAnsi="宋体" w:cs="宋体" w:hint="eastAsia"/>
          <w:kern w:val="0"/>
          <w:szCs w:val="21"/>
        </w:rPr>
        <w:t xml:space="preserve"> </w:t>
      </w:r>
      <w:r w:rsidRPr="009F4A9E">
        <w:rPr>
          <w:rFonts w:ascii="宋体" w:hAnsi="宋体" w:cs="宋体"/>
          <w:kern w:val="0"/>
          <w:szCs w:val="21"/>
        </w:rPr>
        <w:t>任君,王建华,王传美,王建祥.基于正则化LSTM模型的股票指数预测[J].计算机应用与软件,2018,35(04):44-48+108</w:t>
      </w:r>
    </w:p>
    <w:p w14:paraId="22E7B9C4" w14:textId="5C8A913B" w:rsidR="007D01C7" w:rsidRPr="007D01C7" w:rsidRDefault="007D01C7" w:rsidP="007D01C7">
      <w:pPr>
        <w:pStyle w:val="a8"/>
        <w:widowControl/>
        <w:numPr>
          <w:ilvl w:val="0"/>
          <w:numId w:val="4"/>
        </w:numPr>
        <w:wordWrap w:val="0"/>
        <w:ind w:firstLineChars="0"/>
        <w:rPr>
          <w:rFonts w:ascii="宋体" w:hAnsi="宋体"/>
          <w:szCs w:val="21"/>
        </w:rPr>
      </w:pPr>
      <w:r w:rsidRPr="007D01C7">
        <w:rPr>
          <w:rFonts w:ascii="宋体" w:hAnsi="宋体"/>
          <w:szCs w:val="21"/>
        </w:rPr>
        <w:t>张文俊,张永进.4种数据挖掘典型分类方法在股票预测中的性能分析[J].安徽工业大学学报(自然科学版),2017,34(01):97-102.</w:t>
      </w:r>
    </w:p>
    <w:p w14:paraId="1C0890D5" w14:textId="77777777" w:rsidR="007D01C7" w:rsidRDefault="007D01C7" w:rsidP="007D01C7">
      <w:pPr>
        <w:pStyle w:val="a8"/>
        <w:numPr>
          <w:ilvl w:val="0"/>
          <w:numId w:val="4"/>
        </w:numPr>
        <w:ind w:firstLineChars="0"/>
        <w:rPr>
          <w:rFonts w:ascii="宋体" w:hAnsi="宋体" w:cs="宋体"/>
          <w:kern w:val="0"/>
          <w:szCs w:val="21"/>
        </w:rPr>
      </w:pPr>
      <w:r w:rsidRPr="00B92C93">
        <w:rPr>
          <w:rFonts w:ascii="宋体" w:hAnsi="宋体" w:cs="宋体" w:hint="eastAsia"/>
          <w:kern w:val="0"/>
          <w:szCs w:val="21"/>
        </w:rPr>
        <w:t xml:space="preserve"> </w:t>
      </w:r>
      <w:proofErr w:type="gramStart"/>
      <w:r w:rsidRPr="00B92C93">
        <w:rPr>
          <w:rFonts w:ascii="宋体" w:hAnsi="宋体" w:cs="宋体" w:hint="eastAsia"/>
          <w:kern w:val="0"/>
          <w:szCs w:val="21"/>
        </w:rPr>
        <w:t>许兴军</w:t>
      </w:r>
      <w:proofErr w:type="gramEnd"/>
      <w:r w:rsidRPr="00B92C93">
        <w:rPr>
          <w:rFonts w:ascii="宋体" w:hAnsi="宋体" w:cs="宋体"/>
          <w:kern w:val="0"/>
          <w:szCs w:val="21"/>
        </w:rPr>
        <w:t>，</w:t>
      </w:r>
      <w:proofErr w:type="gramStart"/>
      <w:r w:rsidRPr="00B92C93">
        <w:rPr>
          <w:rFonts w:ascii="宋体" w:hAnsi="宋体" w:cs="宋体"/>
          <w:kern w:val="0"/>
          <w:szCs w:val="21"/>
        </w:rPr>
        <w:t>颜钢锋</w:t>
      </w:r>
      <w:proofErr w:type="gramEnd"/>
      <w:r w:rsidRPr="00B92C93">
        <w:rPr>
          <w:rFonts w:ascii="宋体" w:hAnsi="宋体" w:cs="宋体"/>
          <w:kern w:val="0"/>
          <w:szCs w:val="21"/>
        </w:rPr>
        <w:t>.基于BP神经网络的股价趋势分析[J].浙江金融，2011(11)：57-59+64.</w:t>
      </w:r>
    </w:p>
    <w:p w14:paraId="0FA8F022" w14:textId="77777777" w:rsidR="007D01C7" w:rsidRPr="00B92C93" w:rsidRDefault="007D01C7" w:rsidP="007D01C7">
      <w:pPr>
        <w:pStyle w:val="a8"/>
        <w:numPr>
          <w:ilvl w:val="0"/>
          <w:numId w:val="4"/>
        </w:numPr>
        <w:ind w:firstLineChars="0"/>
        <w:rPr>
          <w:rFonts w:ascii="宋体" w:hAnsi="宋体" w:cs="宋体"/>
          <w:kern w:val="0"/>
          <w:szCs w:val="21"/>
        </w:rPr>
      </w:pPr>
      <w:r w:rsidRPr="00B92C93">
        <w:rPr>
          <w:rFonts w:ascii="宋体" w:hAnsi="宋体" w:cs="宋体" w:hint="eastAsia"/>
          <w:kern w:val="0"/>
          <w:szCs w:val="21"/>
        </w:rPr>
        <w:t xml:space="preserve"> </w:t>
      </w:r>
      <w:r w:rsidRPr="00B92C93">
        <w:rPr>
          <w:rFonts w:ascii="宋体" w:hAnsi="宋体" w:cs="宋体"/>
          <w:kern w:val="0"/>
          <w:szCs w:val="21"/>
        </w:rPr>
        <w:t>周志华.机器学习[M].01.清华大学出版社，2016-1.</w:t>
      </w:r>
      <w:proofErr w:type="gramStart"/>
      <w:r w:rsidRPr="00B92C93">
        <w:rPr>
          <w:rFonts w:ascii="宋体" w:hAnsi="宋体" w:cs="宋体"/>
          <w:kern w:val="0"/>
          <w:szCs w:val="21"/>
        </w:rPr>
        <w:t>侯丹</w:t>
      </w:r>
      <w:proofErr w:type="gramEnd"/>
      <w:r w:rsidRPr="00B92C93">
        <w:rPr>
          <w:rFonts w:ascii="宋体" w:hAnsi="宋体" w:cs="宋体"/>
          <w:kern w:val="0"/>
          <w:szCs w:val="21"/>
        </w:rPr>
        <w:t>.股票估值方法分析[J].</w:t>
      </w:r>
      <w:proofErr w:type="gramStart"/>
      <w:r w:rsidRPr="00B92C93">
        <w:rPr>
          <w:rFonts w:ascii="宋体" w:hAnsi="宋体" w:cs="宋体"/>
          <w:kern w:val="0"/>
          <w:szCs w:val="21"/>
        </w:rPr>
        <w:t>中国商论</w:t>
      </w:r>
      <w:proofErr w:type="gramEnd"/>
      <w:r w:rsidRPr="00B92C93">
        <w:rPr>
          <w:rFonts w:ascii="宋体" w:hAnsi="宋体" w:cs="宋体"/>
          <w:kern w:val="0"/>
          <w:szCs w:val="21"/>
        </w:rPr>
        <w:t>,2016(21):89-90.</w:t>
      </w:r>
    </w:p>
    <w:p w14:paraId="5F10F708" w14:textId="77777777" w:rsidR="007D01C7" w:rsidRPr="00B92C93" w:rsidRDefault="007D01C7" w:rsidP="007D01C7">
      <w:pPr>
        <w:pStyle w:val="a8"/>
        <w:numPr>
          <w:ilvl w:val="0"/>
          <w:numId w:val="4"/>
        </w:numPr>
        <w:ind w:firstLineChars="0"/>
        <w:rPr>
          <w:rFonts w:ascii="宋体" w:hAnsi="宋体" w:cs="宋体"/>
          <w:kern w:val="0"/>
          <w:szCs w:val="21"/>
        </w:rPr>
      </w:pPr>
      <w:r w:rsidRPr="00B92C93">
        <w:rPr>
          <w:rFonts w:ascii="宋体" w:hAnsi="宋体" w:cs="宋体" w:hint="eastAsia"/>
          <w:kern w:val="0"/>
          <w:szCs w:val="21"/>
        </w:rPr>
        <w:t xml:space="preserve"> </w:t>
      </w:r>
      <w:r w:rsidRPr="00B92C93">
        <w:rPr>
          <w:rFonts w:ascii="宋体" w:hAnsi="宋体" w:cs="宋体"/>
          <w:kern w:val="0"/>
          <w:szCs w:val="21"/>
        </w:rPr>
        <w:t xml:space="preserve">赵清,乌东峰.CAPM资产定价机制及中国适用性研究[J].东南学术,2015(06):12-18+274. </w:t>
      </w:r>
    </w:p>
    <w:p w14:paraId="28E1CDF7" w14:textId="77777777" w:rsidR="007D01C7" w:rsidRPr="00B92C93" w:rsidRDefault="007D01C7" w:rsidP="007D01C7">
      <w:pPr>
        <w:pStyle w:val="a8"/>
        <w:numPr>
          <w:ilvl w:val="0"/>
          <w:numId w:val="4"/>
        </w:numPr>
        <w:ind w:firstLineChars="0"/>
        <w:rPr>
          <w:rFonts w:ascii="宋体" w:hAnsi="宋体" w:cs="宋体"/>
          <w:kern w:val="0"/>
          <w:szCs w:val="21"/>
        </w:rPr>
      </w:pPr>
      <w:r w:rsidRPr="00B92C93">
        <w:rPr>
          <w:rFonts w:ascii="宋体" w:hAnsi="宋体" w:cs="宋体" w:hint="eastAsia"/>
          <w:kern w:val="0"/>
          <w:szCs w:val="21"/>
        </w:rPr>
        <w:t xml:space="preserve"> </w:t>
      </w:r>
      <w:r w:rsidRPr="00B92C93">
        <w:rPr>
          <w:rFonts w:ascii="宋体" w:hAnsi="宋体" w:cs="宋体"/>
          <w:kern w:val="0"/>
          <w:szCs w:val="21"/>
        </w:rPr>
        <w:t>施东晖. 上海股票市场风险性实证研究[J]. 经济研究,1996(10):44-48.</w:t>
      </w:r>
    </w:p>
    <w:p w14:paraId="1FFD6574" w14:textId="40B22186" w:rsidR="004B00DE" w:rsidRPr="007D01C7" w:rsidRDefault="00A06922" w:rsidP="007D01C7">
      <w:pPr>
        <w:widowControl/>
        <w:wordWrap w:val="0"/>
        <w:rPr>
          <w:rFonts w:ascii="宋体" w:hAnsi="宋体"/>
          <w:szCs w:val="21"/>
        </w:rPr>
      </w:pPr>
      <w:r>
        <w:rPr>
          <w:rFonts w:ascii="Arial" w:hAnsi="Arial" w:cs="Arial"/>
          <w:color w:val="333333"/>
          <w:szCs w:val="21"/>
          <w:shd w:val="clear" w:color="auto" w:fill="FFFFFF"/>
        </w:rPr>
        <w:t xml:space="preserve">[1]. Artificial Neural Networks; New Artificial Neural Networks Findings from M. </w:t>
      </w:r>
      <w:proofErr w:type="spellStart"/>
      <w:r>
        <w:rPr>
          <w:rFonts w:ascii="Arial" w:hAnsi="Arial" w:cs="Arial"/>
          <w:color w:val="333333"/>
          <w:szCs w:val="21"/>
          <w:shd w:val="clear" w:color="auto" w:fill="FFFFFF"/>
        </w:rPr>
        <w:t>Paluch</w:t>
      </w:r>
      <w:proofErr w:type="spellEnd"/>
      <w:r>
        <w:rPr>
          <w:rFonts w:ascii="Arial" w:hAnsi="Arial" w:cs="Arial"/>
          <w:color w:val="333333"/>
          <w:szCs w:val="21"/>
          <w:shd w:val="clear" w:color="auto" w:fill="FFFFFF"/>
        </w:rPr>
        <w:t xml:space="preserve"> and Co-Researchers Described (Hybrid Models Combining Technical and Fractal Analysis with ANN for Short-Term Prediction of Close Values on the Warsaw Stock Exchange</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J]. Computers, Networks &amp; Communications</w:t>
      </w:r>
      <w:proofErr w:type="gramStart"/>
      <w:r>
        <w:rPr>
          <w:rFonts w:ascii="Arial" w:hAnsi="Arial" w:cs="Arial"/>
          <w:color w:val="333333"/>
          <w:szCs w:val="21"/>
          <w:shd w:val="clear" w:color="auto" w:fill="FFFFFF"/>
        </w:rPr>
        <w:t>,2019</w:t>
      </w:r>
      <w:proofErr w:type="gramEnd"/>
      <w:r>
        <w:rPr>
          <w:rFonts w:ascii="Arial" w:hAnsi="Arial" w:cs="Arial"/>
          <w:color w:val="333333"/>
          <w:szCs w:val="21"/>
          <w:shd w:val="clear" w:color="auto" w:fill="FFFFFF"/>
        </w:rPr>
        <w:t>.</w:t>
      </w:r>
      <w:bookmarkStart w:id="1" w:name="_GoBack"/>
      <w:bookmarkEnd w:id="1"/>
    </w:p>
    <w:sectPr w:rsidR="004B00DE" w:rsidRPr="007D01C7" w:rsidSect="00C30EA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517BA" w14:textId="77777777" w:rsidR="00600AC0" w:rsidRDefault="00600AC0" w:rsidP="008D4B1F">
      <w:r>
        <w:separator/>
      </w:r>
    </w:p>
  </w:endnote>
  <w:endnote w:type="continuationSeparator" w:id="0">
    <w:p w14:paraId="74F59595" w14:textId="77777777" w:rsidR="00600AC0" w:rsidRDefault="00600AC0" w:rsidP="008D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7719F" w14:textId="77777777" w:rsidR="00600AC0" w:rsidRDefault="00600AC0" w:rsidP="008D4B1F">
      <w:r>
        <w:separator/>
      </w:r>
    </w:p>
  </w:footnote>
  <w:footnote w:type="continuationSeparator" w:id="0">
    <w:p w14:paraId="0917B19E" w14:textId="77777777" w:rsidR="00600AC0" w:rsidRDefault="00600AC0" w:rsidP="008D4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F16"/>
    <w:multiLevelType w:val="hybridMultilevel"/>
    <w:tmpl w:val="AC1897A2"/>
    <w:lvl w:ilvl="0" w:tplc="0F768D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236C4"/>
    <w:multiLevelType w:val="multilevel"/>
    <w:tmpl w:val="8BC20E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FA74CBF"/>
    <w:multiLevelType w:val="hybridMultilevel"/>
    <w:tmpl w:val="E1E23C52"/>
    <w:lvl w:ilvl="0" w:tplc="0F768D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A10B5C"/>
    <w:multiLevelType w:val="hybridMultilevel"/>
    <w:tmpl w:val="DFAA0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B8"/>
    <w:rsid w:val="00004B34"/>
    <w:rsid w:val="00005D02"/>
    <w:rsid w:val="00006972"/>
    <w:rsid w:val="00015090"/>
    <w:rsid w:val="00021EF7"/>
    <w:rsid w:val="00025C5D"/>
    <w:rsid w:val="0003623A"/>
    <w:rsid w:val="00046A30"/>
    <w:rsid w:val="000531D7"/>
    <w:rsid w:val="000601CE"/>
    <w:rsid w:val="00063CB4"/>
    <w:rsid w:val="00065457"/>
    <w:rsid w:val="00080AD0"/>
    <w:rsid w:val="0008548E"/>
    <w:rsid w:val="00085F48"/>
    <w:rsid w:val="000A2EC7"/>
    <w:rsid w:val="000C567E"/>
    <w:rsid w:val="000C6878"/>
    <w:rsid w:val="000D3491"/>
    <w:rsid w:val="000E1736"/>
    <w:rsid w:val="000E31A0"/>
    <w:rsid w:val="000F404D"/>
    <w:rsid w:val="000F6AA1"/>
    <w:rsid w:val="000F75B3"/>
    <w:rsid w:val="00104104"/>
    <w:rsid w:val="00110650"/>
    <w:rsid w:val="00115931"/>
    <w:rsid w:val="00131804"/>
    <w:rsid w:val="00141650"/>
    <w:rsid w:val="00153815"/>
    <w:rsid w:val="0015469C"/>
    <w:rsid w:val="00156F5A"/>
    <w:rsid w:val="00163674"/>
    <w:rsid w:val="00164657"/>
    <w:rsid w:val="001833A7"/>
    <w:rsid w:val="00186272"/>
    <w:rsid w:val="001A6339"/>
    <w:rsid w:val="001C53A0"/>
    <w:rsid w:val="001F6A2C"/>
    <w:rsid w:val="00200068"/>
    <w:rsid w:val="00204E02"/>
    <w:rsid w:val="00215C8C"/>
    <w:rsid w:val="00222E32"/>
    <w:rsid w:val="002255C4"/>
    <w:rsid w:val="002303A8"/>
    <w:rsid w:val="0023656A"/>
    <w:rsid w:val="0025535E"/>
    <w:rsid w:val="00263EAE"/>
    <w:rsid w:val="00264BB8"/>
    <w:rsid w:val="00270F5B"/>
    <w:rsid w:val="0027126A"/>
    <w:rsid w:val="00271A78"/>
    <w:rsid w:val="00287E6D"/>
    <w:rsid w:val="0029365B"/>
    <w:rsid w:val="002A68BB"/>
    <w:rsid w:val="002B04E8"/>
    <w:rsid w:val="002B5A82"/>
    <w:rsid w:val="002B6586"/>
    <w:rsid w:val="002C6341"/>
    <w:rsid w:val="002D4945"/>
    <w:rsid w:val="002E7634"/>
    <w:rsid w:val="002F69F9"/>
    <w:rsid w:val="00303D80"/>
    <w:rsid w:val="00311235"/>
    <w:rsid w:val="003366CE"/>
    <w:rsid w:val="00351D00"/>
    <w:rsid w:val="003636DB"/>
    <w:rsid w:val="00387053"/>
    <w:rsid w:val="003A3764"/>
    <w:rsid w:val="003F6045"/>
    <w:rsid w:val="00403C8D"/>
    <w:rsid w:val="00405F60"/>
    <w:rsid w:val="00424A9C"/>
    <w:rsid w:val="0042596F"/>
    <w:rsid w:val="00437C33"/>
    <w:rsid w:val="0044455C"/>
    <w:rsid w:val="004750A0"/>
    <w:rsid w:val="00477299"/>
    <w:rsid w:val="00484BCC"/>
    <w:rsid w:val="00496DB5"/>
    <w:rsid w:val="004A2F1D"/>
    <w:rsid w:val="004B00DE"/>
    <w:rsid w:val="004B1B00"/>
    <w:rsid w:val="004B1C92"/>
    <w:rsid w:val="004C770A"/>
    <w:rsid w:val="004D0952"/>
    <w:rsid w:val="004D3EDC"/>
    <w:rsid w:val="004F5CC7"/>
    <w:rsid w:val="004F7054"/>
    <w:rsid w:val="00501FF9"/>
    <w:rsid w:val="0050589C"/>
    <w:rsid w:val="005410D1"/>
    <w:rsid w:val="00541F05"/>
    <w:rsid w:val="005474ED"/>
    <w:rsid w:val="0055606E"/>
    <w:rsid w:val="00556A94"/>
    <w:rsid w:val="00561025"/>
    <w:rsid w:val="005629E5"/>
    <w:rsid w:val="005704F6"/>
    <w:rsid w:val="00597158"/>
    <w:rsid w:val="005B3409"/>
    <w:rsid w:val="005B7FFE"/>
    <w:rsid w:val="005C2B94"/>
    <w:rsid w:val="005C480E"/>
    <w:rsid w:val="005C4A0F"/>
    <w:rsid w:val="005C595A"/>
    <w:rsid w:val="005C737D"/>
    <w:rsid w:val="005F318D"/>
    <w:rsid w:val="00600AC0"/>
    <w:rsid w:val="00612FE7"/>
    <w:rsid w:val="00617955"/>
    <w:rsid w:val="00622F90"/>
    <w:rsid w:val="0065656E"/>
    <w:rsid w:val="00660295"/>
    <w:rsid w:val="00663DF6"/>
    <w:rsid w:val="00670D19"/>
    <w:rsid w:val="006821F2"/>
    <w:rsid w:val="00684C38"/>
    <w:rsid w:val="00687C67"/>
    <w:rsid w:val="006A21ED"/>
    <w:rsid w:val="006B6A3D"/>
    <w:rsid w:val="006C2FA5"/>
    <w:rsid w:val="006C59ED"/>
    <w:rsid w:val="006D7E49"/>
    <w:rsid w:val="006E71EE"/>
    <w:rsid w:val="006F2EC2"/>
    <w:rsid w:val="00700E27"/>
    <w:rsid w:val="007104E3"/>
    <w:rsid w:val="00735DF2"/>
    <w:rsid w:val="0074147E"/>
    <w:rsid w:val="00744E59"/>
    <w:rsid w:val="00745967"/>
    <w:rsid w:val="00757220"/>
    <w:rsid w:val="007639CE"/>
    <w:rsid w:val="0076747A"/>
    <w:rsid w:val="00792730"/>
    <w:rsid w:val="00792AE5"/>
    <w:rsid w:val="007A0187"/>
    <w:rsid w:val="007C2DC1"/>
    <w:rsid w:val="007C535F"/>
    <w:rsid w:val="007C5E79"/>
    <w:rsid w:val="007D01C7"/>
    <w:rsid w:val="007D5C9B"/>
    <w:rsid w:val="007D7B33"/>
    <w:rsid w:val="007E0BC0"/>
    <w:rsid w:val="007E5529"/>
    <w:rsid w:val="007F1E75"/>
    <w:rsid w:val="007F4570"/>
    <w:rsid w:val="00801B1F"/>
    <w:rsid w:val="008266C5"/>
    <w:rsid w:val="00826AFF"/>
    <w:rsid w:val="00857207"/>
    <w:rsid w:val="00860047"/>
    <w:rsid w:val="00861F3F"/>
    <w:rsid w:val="0087472E"/>
    <w:rsid w:val="00887E76"/>
    <w:rsid w:val="008907D7"/>
    <w:rsid w:val="00893754"/>
    <w:rsid w:val="008A1D32"/>
    <w:rsid w:val="008A556A"/>
    <w:rsid w:val="008B71AE"/>
    <w:rsid w:val="008C401C"/>
    <w:rsid w:val="008C4791"/>
    <w:rsid w:val="008D0263"/>
    <w:rsid w:val="008D4B1F"/>
    <w:rsid w:val="008E26DC"/>
    <w:rsid w:val="008F19AF"/>
    <w:rsid w:val="00900E4D"/>
    <w:rsid w:val="00910EF5"/>
    <w:rsid w:val="009175E5"/>
    <w:rsid w:val="0092417B"/>
    <w:rsid w:val="00927FC4"/>
    <w:rsid w:val="009323CF"/>
    <w:rsid w:val="0093770B"/>
    <w:rsid w:val="0094107B"/>
    <w:rsid w:val="00945016"/>
    <w:rsid w:val="00945F43"/>
    <w:rsid w:val="00956D22"/>
    <w:rsid w:val="00963D36"/>
    <w:rsid w:val="0096631B"/>
    <w:rsid w:val="009A14DF"/>
    <w:rsid w:val="009B5ADB"/>
    <w:rsid w:val="009C1534"/>
    <w:rsid w:val="009F0DBF"/>
    <w:rsid w:val="00A06922"/>
    <w:rsid w:val="00A145CC"/>
    <w:rsid w:val="00A20006"/>
    <w:rsid w:val="00A2036B"/>
    <w:rsid w:val="00A26AA2"/>
    <w:rsid w:val="00A340B1"/>
    <w:rsid w:val="00A402DF"/>
    <w:rsid w:val="00A4725F"/>
    <w:rsid w:val="00A749C7"/>
    <w:rsid w:val="00A76EC8"/>
    <w:rsid w:val="00A856DC"/>
    <w:rsid w:val="00A8773B"/>
    <w:rsid w:val="00AA5368"/>
    <w:rsid w:val="00AA7FC8"/>
    <w:rsid w:val="00AB0EE1"/>
    <w:rsid w:val="00AB18F0"/>
    <w:rsid w:val="00AB49C4"/>
    <w:rsid w:val="00AC557A"/>
    <w:rsid w:val="00AC583A"/>
    <w:rsid w:val="00AC7A31"/>
    <w:rsid w:val="00AD3EE0"/>
    <w:rsid w:val="00AD519E"/>
    <w:rsid w:val="00AE0DBA"/>
    <w:rsid w:val="00AF3D97"/>
    <w:rsid w:val="00AF5024"/>
    <w:rsid w:val="00B1485F"/>
    <w:rsid w:val="00B32F21"/>
    <w:rsid w:val="00B41F90"/>
    <w:rsid w:val="00B460EB"/>
    <w:rsid w:val="00B54778"/>
    <w:rsid w:val="00B549E6"/>
    <w:rsid w:val="00B62CBC"/>
    <w:rsid w:val="00B70DD9"/>
    <w:rsid w:val="00B74E5D"/>
    <w:rsid w:val="00BB398D"/>
    <w:rsid w:val="00BC1688"/>
    <w:rsid w:val="00BC330E"/>
    <w:rsid w:val="00BC4F4A"/>
    <w:rsid w:val="00BC7076"/>
    <w:rsid w:val="00BD145B"/>
    <w:rsid w:val="00BD6811"/>
    <w:rsid w:val="00C14381"/>
    <w:rsid w:val="00C2410D"/>
    <w:rsid w:val="00C26460"/>
    <w:rsid w:val="00C30EA2"/>
    <w:rsid w:val="00C6258C"/>
    <w:rsid w:val="00C72997"/>
    <w:rsid w:val="00C73282"/>
    <w:rsid w:val="00C76443"/>
    <w:rsid w:val="00C8064C"/>
    <w:rsid w:val="00C92DB3"/>
    <w:rsid w:val="00C97946"/>
    <w:rsid w:val="00C97DE7"/>
    <w:rsid w:val="00CA0213"/>
    <w:rsid w:val="00CA5A61"/>
    <w:rsid w:val="00CB48E4"/>
    <w:rsid w:val="00CC167A"/>
    <w:rsid w:val="00CC4995"/>
    <w:rsid w:val="00CD71D6"/>
    <w:rsid w:val="00CF4213"/>
    <w:rsid w:val="00D37763"/>
    <w:rsid w:val="00D80387"/>
    <w:rsid w:val="00DA11EF"/>
    <w:rsid w:val="00DB6B32"/>
    <w:rsid w:val="00DC3097"/>
    <w:rsid w:val="00DE3BD2"/>
    <w:rsid w:val="00DF20B7"/>
    <w:rsid w:val="00E01390"/>
    <w:rsid w:val="00E132E0"/>
    <w:rsid w:val="00E13403"/>
    <w:rsid w:val="00E358E9"/>
    <w:rsid w:val="00E71050"/>
    <w:rsid w:val="00E74E4E"/>
    <w:rsid w:val="00E8685F"/>
    <w:rsid w:val="00EA3EB4"/>
    <w:rsid w:val="00EA63F1"/>
    <w:rsid w:val="00EA7552"/>
    <w:rsid w:val="00EE0AC4"/>
    <w:rsid w:val="00EE2056"/>
    <w:rsid w:val="00EE523F"/>
    <w:rsid w:val="00F0798E"/>
    <w:rsid w:val="00F25893"/>
    <w:rsid w:val="00F34794"/>
    <w:rsid w:val="00F35044"/>
    <w:rsid w:val="00F41343"/>
    <w:rsid w:val="00F47A7F"/>
    <w:rsid w:val="00F565B0"/>
    <w:rsid w:val="00F66B4E"/>
    <w:rsid w:val="00F77E1E"/>
    <w:rsid w:val="00FA1AB4"/>
    <w:rsid w:val="00FA2FF0"/>
    <w:rsid w:val="00FA3A50"/>
    <w:rsid w:val="00FC2774"/>
    <w:rsid w:val="00FF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F21"/>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B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B1F"/>
    <w:rPr>
      <w:sz w:val="18"/>
      <w:szCs w:val="18"/>
    </w:rPr>
  </w:style>
  <w:style w:type="paragraph" w:styleId="a4">
    <w:name w:val="footer"/>
    <w:basedOn w:val="a"/>
    <w:link w:val="Char0"/>
    <w:uiPriority w:val="99"/>
    <w:unhideWhenUsed/>
    <w:rsid w:val="008D4B1F"/>
    <w:pPr>
      <w:tabs>
        <w:tab w:val="center" w:pos="4153"/>
        <w:tab w:val="right" w:pos="8306"/>
      </w:tabs>
      <w:snapToGrid w:val="0"/>
      <w:jc w:val="left"/>
    </w:pPr>
    <w:rPr>
      <w:sz w:val="18"/>
      <w:szCs w:val="18"/>
    </w:rPr>
  </w:style>
  <w:style w:type="character" w:customStyle="1" w:styleId="Char0">
    <w:name w:val="页脚 Char"/>
    <w:basedOn w:val="a0"/>
    <w:link w:val="a4"/>
    <w:uiPriority w:val="99"/>
    <w:rsid w:val="008D4B1F"/>
    <w:rPr>
      <w:sz w:val="18"/>
      <w:szCs w:val="18"/>
    </w:rPr>
  </w:style>
  <w:style w:type="table" w:styleId="a5">
    <w:name w:val="Table Grid"/>
    <w:basedOn w:val="a1"/>
    <w:uiPriority w:val="39"/>
    <w:rsid w:val="00A749C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460EB"/>
    <w:rPr>
      <w:color w:val="808080"/>
    </w:rPr>
  </w:style>
  <w:style w:type="paragraph" w:styleId="a7">
    <w:name w:val="Balloon Text"/>
    <w:basedOn w:val="a"/>
    <w:link w:val="Char1"/>
    <w:uiPriority w:val="99"/>
    <w:semiHidden/>
    <w:unhideWhenUsed/>
    <w:rsid w:val="00DE3BD2"/>
    <w:rPr>
      <w:sz w:val="18"/>
      <w:szCs w:val="18"/>
    </w:rPr>
  </w:style>
  <w:style w:type="character" w:customStyle="1" w:styleId="Char1">
    <w:name w:val="批注框文本 Char"/>
    <w:basedOn w:val="a0"/>
    <w:link w:val="a7"/>
    <w:uiPriority w:val="99"/>
    <w:semiHidden/>
    <w:rsid w:val="00DE3BD2"/>
    <w:rPr>
      <w:rFonts w:eastAsia="宋体"/>
      <w:sz w:val="18"/>
      <w:szCs w:val="18"/>
    </w:rPr>
  </w:style>
  <w:style w:type="paragraph" w:styleId="a8">
    <w:name w:val="List Paragraph"/>
    <w:basedOn w:val="a"/>
    <w:uiPriority w:val="34"/>
    <w:qFormat/>
    <w:rsid w:val="00AA5368"/>
    <w:pPr>
      <w:ind w:firstLineChars="200" w:firstLine="420"/>
    </w:pPr>
    <w:rPr>
      <w:rFonts w:ascii="Times New Roman" w:hAnsi="Times New Roman" w:cs="Times New Roman"/>
      <w:szCs w:val="20"/>
    </w:rPr>
  </w:style>
  <w:style w:type="paragraph" w:styleId="a9">
    <w:name w:val="footnote text"/>
    <w:basedOn w:val="a"/>
    <w:link w:val="Char2"/>
    <w:uiPriority w:val="99"/>
    <w:unhideWhenUsed/>
    <w:rsid w:val="00893754"/>
    <w:pPr>
      <w:snapToGrid w:val="0"/>
      <w:jc w:val="left"/>
    </w:pPr>
    <w:rPr>
      <w:rFonts w:ascii="Times New Roman" w:hAnsi="Times New Roman" w:cs="Times New Roman"/>
      <w:sz w:val="18"/>
      <w:szCs w:val="18"/>
    </w:rPr>
  </w:style>
  <w:style w:type="character" w:customStyle="1" w:styleId="Char2">
    <w:name w:val="脚注文本 Char"/>
    <w:basedOn w:val="a0"/>
    <w:link w:val="a9"/>
    <w:uiPriority w:val="99"/>
    <w:rsid w:val="00893754"/>
    <w:rPr>
      <w:rFonts w:ascii="Times New Roman" w:eastAsia="宋体" w:hAnsi="Times New Roman" w:cs="Times New Roman"/>
      <w:sz w:val="18"/>
      <w:szCs w:val="18"/>
    </w:rPr>
  </w:style>
  <w:style w:type="paragraph" w:styleId="aa">
    <w:name w:val="caption"/>
    <w:basedOn w:val="a"/>
    <w:next w:val="a"/>
    <w:uiPriority w:val="35"/>
    <w:unhideWhenUsed/>
    <w:qFormat/>
    <w:rsid w:val="00AD3EE0"/>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F21"/>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B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B1F"/>
    <w:rPr>
      <w:sz w:val="18"/>
      <w:szCs w:val="18"/>
    </w:rPr>
  </w:style>
  <w:style w:type="paragraph" w:styleId="a4">
    <w:name w:val="footer"/>
    <w:basedOn w:val="a"/>
    <w:link w:val="Char0"/>
    <w:uiPriority w:val="99"/>
    <w:unhideWhenUsed/>
    <w:rsid w:val="008D4B1F"/>
    <w:pPr>
      <w:tabs>
        <w:tab w:val="center" w:pos="4153"/>
        <w:tab w:val="right" w:pos="8306"/>
      </w:tabs>
      <w:snapToGrid w:val="0"/>
      <w:jc w:val="left"/>
    </w:pPr>
    <w:rPr>
      <w:sz w:val="18"/>
      <w:szCs w:val="18"/>
    </w:rPr>
  </w:style>
  <w:style w:type="character" w:customStyle="1" w:styleId="Char0">
    <w:name w:val="页脚 Char"/>
    <w:basedOn w:val="a0"/>
    <w:link w:val="a4"/>
    <w:uiPriority w:val="99"/>
    <w:rsid w:val="008D4B1F"/>
    <w:rPr>
      <w:sz w:val="18"/>
      <w:szCs w:val="18"/>
    </w:rPr>
  </w:style>
  <w:style w:type="table" w:styleId="a5">
    <w:name w:val="Table Grid"/>
    <w:basedOn w:val="a1"/>
    <w:uiPriority w:val="39"/>
    <w:rsid w:val="00A749C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460EB"/>
    <w:rPr>
      <w:color w:val="808080"/>
    </w:rPr>
  </w:style>
  <w:style w:type="paragraph" w:styleId="a7">
    <w:name w:val="Balloon Text"/>
    <w:basedOn w:val="a"/>
    <w:link w:val="Char1"/>
    <w:uiPriority w:val="99"/>
    <w:semiHidden/>
    <w:unhideWhenUsed/>
    <w:rsid w:val="00DE3BD2"/>
    <w:rPr>
      <w:sz w:val="18"/>
      <w:szCs w:val="18"/>
    </w:rPr>
  </w:style>
  <w:style w:type="character" w:customStyle="1" w:styleId="Char1">
    <w:name w:val="批注框文本 Char"/>
    <w:basedOn w:val="a0"/>
    <w:link w:val="a7"/>
    <w:uiPriority w:val="99"/>
    <w:semiHidden/>
    <w:rsid w:val="00DE3BD2"/>
    <w:rPr>
      <w:rFonts w:eastAsia="宋体"/>
      <w:sz w:val="18"/>
      <w:szCs w:val="18"/>
    </w:rPr>
  </w:style>
  <w:style w:type="paragraph" w:styleId="a8">
    <w:name w:val="List Paragraph"/>
    <w:basedOn w:val="a"/>
    <w:uiPriority w:val="34"/>
    <w:qFormat/>
    <w:rsid w:val="00AA5368"/>
    <w:pPr>
      <w:ind w:firstLineChars="200" w:firstLine="420"/>
    </w:pPr>
    <w:rPr>
      <w:rFonts w:ascii="Times New Roman" w:hAnsi="Times New Roman" w:cs="Times New Roman"/>
      <w:szCs w:val="20"/>
    </w:rPr>
  </w:style>
  <w:style w:type="paragraph" w:styleId="a9">
    <w:name w:val="footnote text"/>
    <w:basedOn w:val="a"/>
    <w:link w:val="Char2"/>
    <w:uiPriority w:val="99"/>
    <w:unhideWhenUsed/>
    <w:rsid w:val="00893754"/>
    <w:pPr>
      <w:snapToGrid w:val="0"/>
      <w:jc w:val="left"/>
    </w:pPr>
    <w:rPr>
      <w:rFonts w:ascii="Times New Roman" w:hAnsi="Times New Roman" w:cs="Times New Roman"/>
      <w:sz w:val="18"/>
      <w:szCs w:val="18"/>
    </w:rPr>
  </w:style>
  <w:style w:type="character" w:customStyle="1" w:styleId="Char2">
    <w:name w:val="脚注文本 Char"/>
    <w:basedOn w:val="a0"/>
    <w:link w:val="a9"/>
    <w:uiPriority w:val="99"/>
    <w:rsid w:val="00893754"/>
    <w:rPr>
      <w:rFonts w:ascii="Times New Roman" w:eastAsia="宋体" w:hAnsi="Times New Roman" w:cs="Times New Roman"/>
      <w:sz w:val="18"/>
      <w:szCs w:val="18"/>
    </w:rPr>
  </w:style>
  <w:style w:type="paragraph" w:styleId="aa">
    <w:name w:val="caption"/>
    <w:basedOn w:val="a"/>
    <w:next w:val="a"/>
    <w:uiPriority w:val="35"/>
    <w:unhideWhenUsed/>
    <w:qFormat/>
    <w:rsid w:val="00AD3EE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6763">
      <w:bodyDiv w:val="1"/>
      <w:marLeft w:val="0"/>
      <w:marRight w:val="0"/>
      <w:marTop w:val="0"/>
      <w:marBottom w:val="0"/>
      <w:divBdr>
        <w:top w:val="none" w:sz="0" w:space="0" w:color="auto"/>
        <w:left w:val="none" w:sz="0" w:space="0" w:color="auto"/>
        <w:bottom w:val="none" w:sz="0" w:space="0" w:color="auto"/>
        <w:right w:val="none" w:sz="0" w:space="0" w:color="auto"/>
      </w:divBdr>
    </w:div>
    <w:div w:id="123740483">
      <w:bodyDiv w:val="1"/>
      <w:marLeft w:val="0"/>
      <w:marRight w:val="0"/>
      <w:marTop w:val="0"/>
      <w:marBottom w:val="0"/>
      <w:divBdr>
        <w:top w:val="none" w:sz="0" w:space="0" w:color="auto"/>
        <w:left w:val="none" w:sz="0" w:space="0" w:color="auto"/>
        <w:bottom w:val="none" w:sz="0" w:space="0" w:color="auto"/>
        <w:right w:val="none" w:sz="0" w:space="0" w:color="auto"/>
      </w:divBdr>
    </w:div>
    <w:div w:id="171727428">
      <w:bodyDiv w:val="1"/>
      <w:marLeft w:val="0"/>
      <w:marRight w:val="0"/>
      <w:marTop w:val="0"/>
      <w:marBottom w:val="0"/>
      <w:divBdr>
        <w:top w:val="none" w:sz="0" w:space="0" w:color="auto"/>
        <w:left w:val="none" w:sz="0" w:space="0" w:color="auto"/>
        <w:bottom w:val="none" w:sz="0" w:space="0" w:color="auto"/>
        <w:right w:val="none" w:sz="0" w:space="0" w:color="auto"/>
      </w:divBdr>
    </w:div>
    <w:div w:id="198470722">
      <w:bodyDiv w:val="1"/>
      <w:marLeft w:val="0"/>
      <w:marRight w:val="0"/>
      <w:marTop w:val="0"/>
      <w:marBottom w:val="0"/>
      <w:divBdr>
        <w:top w:val="none" w:sz="0" w:space="0" w:color="auto"/>
        <w:left w:val="none" w:sz="0" w:space="0" w:color="auto"/>
        <w:bottom w:val="none" w:sz="0" w:space="0" w:color="auto"/>
        <w:right w:val="none" w:sz="0" w:space="0" w:color="auto"/>
      </w:divBdr>
    </w:div>
    <w:div w:id="470095184">
      <w:bodyDiv w:val="1"/>
      <w:marLeft w:val="0"/>
      <w:marRight w:val="0"/>
      <w:marTop w:val="0"/>
      <w:marBottom w:val="0"/>
      <w:divBdr>
        <w:top w:val="none" w:sz="0" w:space="0" w:color="auto"/>
        <w:left w:val="none" w:sz="0" w:space="0" w:color="auto"/>
        <w:bottom w:val="none" w:sz="0" w:space="0" w:color="auto"/>
        <w:right w:val="none" w:sz="0" w:space="0" w:color="auto"/>
      </w:divBdr>
    </w:div>
    <w:div w:id="581179084">
      <w:bodyDiv w:val="1"/>
      <w:marLeft w:val="0"/>
      <w:marRight w:val="0"/>
      <w:marTop w:val="0"/>
      <w:marBottom w:val="0"/>
      <w:divBdr>
        <w:top w:val="none" w:sz="0" w:space="0" w:color="auto"/>
        <w:left w:val="none" w:sz="0" w:space="0" w:color="auto"/>
        <w:bottom w:val="none" w:sz="0" w:space="0" w:color="auto"/>
        <w:right w:val="none" w:sz="0" w:space="0" w:color="auto"/>
      </w:divBdr>
    </w:div>
    <w:div w:id="1353606587">
      <w:bodyDiv w:val="1"/>
      <w:marLeft w:val="0"/>
      <w:marRight w:val="0"/>
      <w:marTop w:val="0"/>
      <w:marBottom w:val="0"/>
      <w:divBdr>
        <w:top w:val="none" w:sz="0" w:space="0" w:color="auto"/>
        <w:left w:val="none" w:sz="0" w:space="0" w:color="auto"/>
        <w:bottom w:val="none" w:sz="0" w:space="0" w:color="auto"/>
        <w:right w:val="none" w:sz="0" w:space="0" w:color="auto"/>
      </w:divBdr>
    </w:div>
    <w:div w:id="1494561072">
      <w:bodyDiv w:val="1"/>
      <w:marLeft w:val="0"/>
      <w:marRight w:val="0"/>
      <w:marTop w:val="0"/>
      <w:marBottom w:val="0"/>
      <w:divBdr>
        <w:top w:val="none" w:sz="0" w:space="0" w:color="auto"/>
        <w:left w:val="none" w:sz="0" w:space="0" w:color="auto"/>
        <w:bottom w:val="none" w:sz="0" w:space="0" w:color="auto"/>
        <w:right w:val="none" w:sz="0" w:space="0" w:color="auto"/>
      </w:divBdr>
    </w:div>
    <w:div w:id="21168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package" Target="embeddings/Microsoft_Visio_Drawing8444444444444444443.vsdx"/><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image" Target="media/image20.png"/><Relationship Id="rId50" Type="http://schemas.openxmlformats.org/officeDocument/2006/relationships/image" Target="media/image23.wmf"/><Relationship Id="rId55"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package" Target="embeddings/Microsoft_Visio_Drawing6222222222222222221.vsdx"/><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5.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package" Target="embeddings/Microsoft_Visio_Drawing7333333333333333332.vsdx"/><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19.bin"/><Relationship Id="rId58"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emf"/><Relationship Id="rId49" Type="http://schemas.openxmlformats.org/officeDocument/2006/relationships/image" Target="media/image22.png"/><Relationship Id="rId57" Type="http://schemas.openxmlformats.org/officeDocument/2006/relationships/image" Target="media/image27.png"/><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4.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6.bin"/><Relationship Id="rId48" Type="http://schemas.openxmlformats.org/officeDocument/2006/relationships/image" Target="media/image21.png"/><Relationship Id="rId56"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oleObject" Target="embeddings/oleObject1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emf"/><Relationship Id="rId46" Type="http://schemas.openxmlformats.org/officeDocument/2006/relationships/image" Target="media/image19.png"/><Relationship Id="rId59" Type="http://schemas.openxmlformats.org/officeDocument/2006/relationships/hyperlink" Target="http://www-cnki-net.webvpn.jxust.edu.cn/kcms/detail/detail.aspx?filename=ZFSD201804061&amp;dbcode=CJFQ&amp;dbname=CJFN2018&amp;v=MDE1NjNZYXJHNEg5bk1xNDlEWllSK0MzODR6aDRYbkQwTFRnMlgyaHN4RnJDVVJMT2ZZdWRzRmlIaFVML01QeX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Metheus梁</dc:creator>
  <cp:lastModifiedBy>Windows 用户</cp:lastModifiedBy>
  <cp:revision>10</cp:revision>
  <dcterms:created xsi:type="dcterms:W3CDTF">2019-05-13T10:55:00Z</dcterms:created>
  <dcterms:modified xsi:type="dcterms:W3CDTF">2019-05-28T11:31:00Z</dcterms:modified>
</cp:coreProperties>
</file>