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Text"/>
        <w:jc w:val="center"/>
        <w:rPr>
          <w:b w:val="1"/>
          <w:bCs w:val="1"/>
          <w:sz w:val="40"/>
          <w:szCs w:val="40"/>
        </w:rPr>
      </w:pPr>
      <w:r>
        <w:rPr>
          <w:b w:val="1"/>
          <w:bCs w:val="1"/>
          <w:sz w:val="40"/>
          <w:szCs w:val="40"/>
          <w:rtl w:val="0"/>
          <w:lang w:val="it-IT"/>
        </w:rPr>
        <w:t>Shevuoth, Chapter Four, Mishnah Seven</w:t>
      </w:r>
    </w:p>
    <w:p>
      <w:pPr>
        <w:pStyle w:val="Body Text"/>
        <w:rPr>
          <w:b w:val="1"/>
          <w:bCs w:val="1"/>
          <w:sz w:val="32"/>
          <w:szCs w:val="32"/>
        </w:rPr>
      </w:pPr>
    </w:p>
    <w:p>
      <w:pPr>
        <w:pStyle w:val="Body Text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fr-FR"/>
        </w:rPr>
        <w:t>Introduction</w:t>
      </w:r>
    </w:p>
    <w:p>
      <w:pPr>
        <w:pStyle w:val="Body Text"/>
      </w:pPr>
      <w:r>
        <w:rPr>
          <w:rtl w:val="0"/>
          <w:lang w:val="en-US"/>
        </w:rPr>
        <w:t>Mishnah seven lists cases where although the person falsely testifies, since the case did not concern money, he is not guilty of a false oath of testimony.</w:t>
      </w:r>
    </w:p>
    <w:p>
      <w:pPr>
        <w:pStyle w:val="Body Text"/>
      </w:pPr>
    </w:p>
    <w:p>
      <w:pPr>
        <w:pStyle w:val="Body Text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de-DE"/>
        </w:rPr>
        <w:t>Mishnah Seven</w:t>
      </w:r>
    </w:p>
    <w:p>
      <w:pPr>
        <w:pStyle w:val="Body Text"/>
        <w:numPr>
          <w:ilvl w:val="0"/>
          <w:numId w:val="2"/>
        </w:numPr>
        <w:bidi w:val="0"/>
        <w:ind w:right="0"/>
        <w:jc w:val="left"/>
        <w:rPr>
          <w:rFonts w:ascii="Garamond" w:hAnsi="Garamond" w:hint="default"/>
          <w:rtl w:val="0"/>
        </w:rPr>
      </w:pPr>
      <w:r>
        <w:rPr>
          <w:rFonts w:ascii="Garamond" w:hAnsi="Garamond" w:hint="default"/>
          <w:rtl w:val="0"/>
        </w:rPr>
        <w:t>“</w:t>
      </w:r>
      <w:r>
        <w:rPr>
          <w:rFonts w:ascii="Garamond" w:hAnsi="Garamond"/>
          <w:rtl w:val="0"/>
          <w:lang w:val="en-US"/>
        </w:rPr>
        <w:t xml:space="preserve">I adjure you that you come and bear testimony for me that I am a priest, or, that I am a levite, or, that I am not the son of a divorced woman, or, that I am not the son of a </w:t>
      </w:r>
      <w:r>
        <w:rPr>
          <w:rFonts w:ascii="Garamond" w:hAnsi="Garamond"/>
          <w:i w:val="1"/>
          <w:iCs w:val="1"/>
          <w:rtl w:val="0"/>
        </w:rPr>
        <w:t>halutzah</w:t>
      </w:r>
      <w:r>
        <w:rPr>
          <w:rFonts w:ascii="Garamond" w:hAnsi="Garamond"/>
          <w:rtl w:val="0"/>
        </w:rPr>
        <w:t xml:space="preserve">;  </w:t>
      </w:r>
    </w:p>
    <w:p>
      <w:pPr>
        <w:pStyle w:val="Body Text"/>
        <w:numPr>
          <w:ilvl w:val="0"/>
          <w:numId w:val="2"/>
        </w:numPr>
        <w:bidi w:val="0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 xml:space="preserve">That so-and-so is a priest, or, that so-and-so is a levite, or, that he is not the son of a divorced woman, or, that he is not the son of a </w:t>
      </w:r>
      <w:r>
        <w:rPr>
          <w:rFonts w:ascii="Garamond" w:hAnsi="Garamond"/>
          <w:i w:val="1"/>
          <w:iCs w:val="1"/>
          <w:rtl w:val="0"/>
        </w:rPr>
        <w:t>halutzah</w:t>
      </w:r>
      <w:r>
        <w:rPr>
          <w:rFonts w:ascii="Garamond" w:hAnsi="Garamond"/>
          <w:rtl w:val="0"/>
        </w:rPr>
        <w:t xml:space="preserve">; </w:t>
      </w:r>
    </w:p>
    <w:p>
      <w:pPr>
        <w:pStyle w:val="Body Text"/>
        <w:numPr>
          <w:ilvl w:val="0"/>
          <w:numId w:val="2"/>
        </w:numPr>
        <w:bidi w:val="0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 xml:space="preserve">That so-and-so violated his daughter, or seduced his daughter; </w:t>
      </w:r>
    </w:p>
    <w:p>
      <w:pPr>
        <w:pStyle w:val="Body Text"/>
        <w:numPr>
          <w:ilvl w:val="0"/>
          <w:numId w:val="2"/>
        </w:numPr>
        <w:bidi w:val="0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 xml:space="preserve">That my son injured me;  </w:t>
      </w:r>
    </w:p>
    <w:p>
      <w:pPr>
        <w:pStyle w:val="Body Text"/>
        <w:numPr>
          <w:ilvl w:val="0"/>
          <w:numId w:val="2"/>
        </w:numPr>
        <w:bidi w:val="0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That my neighbor injured me, or set fire to my haystack on the Sabbath</w:t>
      </w:r>
      <w:r>
        <w:rPr>
          <w:rFonts w:ascii="Garamond" w:hAnsi="Garamond" w:hint="default"/>
          <w:rtl w:val="0"/>
        </w:rPr>
        <w:t>”</w:t>
      </w:r>
      <w:r>
        <w:rPr>
          <w:rFonts w:ascii="Garamond" w:hAnsi="Garamond"/>
          <w:rtl w:val="0"/>
        </w:rPr>
        <w:t>:</w:t>
      </w:r>
    </w:p>
    <w:p>
      <w:pPr>
        <w:pStyle w:val="Body Text"/>
        <w:numPr>
          <w:ilvl w:val="1"/>
          <w:numId w:val="2"/>
        </w:numPr>
        <w:bidi w:val="0"/>
        <w:ind w:right="0"/>
        <w:jc w:val="left"/>
        <w:rPr>
          <w:rFonts w:ascii="Garamond" w:hAnsi="Garamond"/>
          <w:rtl w:val="0"/>
          <w:lang w:val="en-US"/>
        </w:rPr>
      </w:pPr>
      <w:r>
        <w:rPr>
          <w:rFonts w:ascii="Garamond" w:hAnsi="Garamond"/>
          <w:rtl w:val="0"/>
          <w:lang w:val="en-US"/>
        </w:rPr>
        <w:t>[And they deny knowledge of testimony] they are exempt.</w:t>
      </w:r>
    </w:p>
    <w:p>
      <w:pPr>
        <w:pStyle w:val="Body Text"/>
        <w:rPr>
          <w:rFonts w:ascii="Garamond" w:cs="Garamond" w:hAnsi="Garamond" w:eastAsia="Garamond"/>
        </w:rPr>
      </w:pPr>
    </w:p>
    <w:p>
      <w:pPr>
        <w:pStyle w:val="Body Text"/>
        <w:rPr>
          <w:b w:val="1"/>
          <w:bCs w:val="1"/>
          <w:i w:val="1"/>
          <w:iCs w:val="1"/>
          <w:sz w:val="32"/>
          <w:szCs w:val="32"/>
        </w:rPr>
      </w:pPr>
      <w:r>
        <w:rPr>
          <w:b w:val="1"/>
          <w:bCs w:val="1"/>
          <w:i w:val="1"/>
          <w:iCs w:val="1"/>
          <w:sz w:val="32"/>
          <w:szCs w:val="32"/>
          <w:rtl w:val="0"/>
          <w:lang w:val="en-US"/>
        </w:rPr>
        <w:t>Explanation</w:t>
      </w:r>
    </w:p>
    <w:p>
      <w:pPr>
        <w:pStyle w:val="Body Text"/>
      </w:pPr>
      <w:r>
        <w:rPr>
          <w:rtl w:val="0"/>
          <w:lang w:val="en-US"/>
        </w:rPr>
        <w:t>This mishnah is a contrast to mishnah six.  In it a person adjures witnesses to testify in non-monetary cases, or at least in cases in which the one adjuring does not stand to gain money by the testimony.</w:t>
      </w:r>
    </w:p>
    <w:p>
      <w:pPr>
        <w:pStyle w:val="Body Text"/>
      </w:pPr>
      <w:r>
        <w:rPr>
          <w:b w:val="1"/>
          <w:bCs w:val="1"/>
          <w:rtl w:val="0"/>
          <w:lang w:val="en-US"/>
        </w:rPr>
        <w:t>Section one</w:t>
      </w:r>
      <w:r>
        <w:rPr>
          <w:rtl w:val="0"/>
          <w:lang w:val="en-US"/>
        </w:rPr>
        <w:t xml:space="preserve">:  In all of these cases the testimony is about the status of either the person who adjures the witnesses or about a third party.  There is no monetary suit.  The son of  priest and divorcee or a priest and a </w:t>
      </w:r>
      <w:r>
        <w:rPr>
          <w:i w:val="1"/>
          <w:iCs w:val="1"/>
          <w:rtl w:val="0"/>
        </w:rPr>
        <w:t>halutzah</w:t>
      </w:r>
      <w:r>
        <w:rPr>
          <w:rtl w:val="0"/>
          <w:lang w:val="en-US"/>
        </w:rPr>
        <w:t xml:space="preserve"> (one rejected by the levir) are considered disqualified priests and they do not retain their priestly status.    </w:t>
      </w:r>
    </w:p>
    <w:p>
      <w:pPr>
        <w:pStyle w:val="Body Text"/>
      </w:pPr>
      <w:r>
        <w:rPr>
          <w:b w:val="1"/>
          <w:bCs w:val="1"/>
          <w:rtl w:val="0"/>
          <w:lang w:val="en-US"/>
        </w:rPr>
        <w:t>Section three</w:t>
      </w:r>
      <w:r>
        <w:rPr>
          <w:rtl w:val="0"/>
          <w:lang w:val="en-US"/>
        </w:rPr>
        <w:t>:   A person who rapes or seduces his own daughter is liable for the death penalty and not for a fine, as is one who rapes or seduces another person</w:t>
      </w:r>
      <w:r>
        <w:rPr>
          <w:rtl w:val="0"/>
        </w:rPr>
        <w:t>’</w:t>
      </w:r>
      <w:r>
        <w:rPr>
          <w:rtl w:val="0"/>
          <w:lang w:val="en-US"/>
        </w:rPr>
        <w:t>s daughter.</w:t>
      </w:r>
    </w:p>
    <w:p>
      <w:pPr>
        <w:pStyle w:val="Body Text"/>
      </w:pPr>
      <w:r>
        <w:rPr>
          <w:b w:val="1"/>
          <w:bCs w:val="1"/>
          <w:rtl w:val="0"/>
          <w:lang w:val="en-US"/>
        </w:rPr>
        <w:t>Section four</w:t>
      </w:r>
      <w:r>
        <w:rPr>
          <w:rtl w:val="0"/>
          <w:lang w:val="en-US"/>
        </w:rPr>
        <w:t>:  A child who strikes his parent and inflicts a wound is liable for the death penalty.  Since he will be executed he is exempt from paying a financial penalty, and therefore this case is not a monetary suit.</w:t>
      </w:r>
    </w:p>
    <w:p>
      <w:pPr>
        <w:pStyle w:val="Body Text"/>
      </w:pPr>
      <w:r>
        <w:rPr>
          <w:b w:val="1"/>
          <w:bCs w:val="1"/>
          <w:rtl w:val="0"/>
          <w:lang w:val="en-US"/>
        </w:rPr>
        <w:t>Section five</w:t>
      </w:r>
      <w:r>
        <w:rPr>
          <w:rtl w:val="0"/>
          <w:lang w:val="en-US"/>
        </w:rPr>
        <w:t>:  One who injures another person on the Sabbath or burns a haystack is liable for the death penalty.  Although these cases also involve financial damage, since a person cannot be obligated for death and payment for the same act, the criminal would be liable for death and not payment.   This is not, therefore, a monetary suit.</w:t>
      </w:r>
    </w:p>
    <w:p>
      <w:pPr>
        <w:pStyle w:val="Body Text"/>
      </w:pPr>
    </w:p>
    <w:p>
      <w:pPr>
        <w:pStyle w:val="Body Text"/>
      </w:pPr>
    </w:p>
    <w:p>
      <w:pPr>
        <w:pStyle w:val="Body Text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Questions for Further Thought:</w:t>
      </w:r>
    </w:p>
    <w:p>
      <w:pPr>
        <w:pStyle w:val="Body Text"/>
        <w:numPr>
          <w:ilvl w:val="0"/>
          <w:numId w:val="4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>Sections one and two</w:t>
      </w:r>
      <w:r>
        <w:rPr>
          <w:rtl w:val="0"/>
          <w:lang w:val="en-US"/>
        </w:rPr>
        <w:t>:  Why might you have thought that these cases were monetary suits?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720" w:footer="720"/>
      <w:bidi w:val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aramon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)"/>
      <w:lvlJc w:val="left"/>
      <w:pPr>
        <w:ind w:left="787" w:hanging="7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1435" w:hanging="14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795" w:hanging="17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(%4)"/>
      <w:lvlJc w:val="left"/>
      <w:pPr>
        <w:ind w:left="1867" w:hanging="18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(%5)"/>
      <w:lvlJc w:val="left"/>
      <w:pPr>
        <w:ind w:left="2515" w:hanging="25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(%6)"/>
      <w:lvlJc w:val="left"/>
      <w:pPr>
        <w:ind w:left="2875" w:hanging="28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235" w:hanging="32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595" w:hanging="35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."/>
      <w:lvlJc w:val="left"/>
      <w:pPr>
        <w:ind w:left="3955" w:hanging="39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80" w:hanging="7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780" w:hanging="7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780" w:hanging="7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780" w:hanging="7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780" w:hanging="7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780" w:hanging="7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780" w:hanging="7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780" w:hanging="7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780" w:hanging="78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it-IT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