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5C8C"/>
          <w:sz w:val="56"/>
          <w:szCs w:val="56"/>
        </w:rPr>
        <w:t xml:space="preserve">COPD PulmonWebApp</w:t>
      </w:r>
    </w:p>
    <w:p>
      <w:pPr>
        <w:spacing w:after="400"/>
        <w:jc w:val="center"/>
      </w:pPr>
      <w:r>
        <w:rPr>
          <w:color w:val="444444"/>
          <w:sz w:val="30"/>
          <w:szCs w:val="30"/>
        </w:rPr>
        <w:t xml:space="preserve">PDF Extraction Pipeline — Technical Reference</w:t>
      </w:r>
    </w:p>
    <w:p>
      <w:pPr>
        <w:spacing w:after="120"/>
        <w:jc w:val="center"/>
      </w:pPr>
      <w:r>
        <w:rPr>
          <w:i/>
          <w:iCs/>
          <w:color w:val="666666"/>
          <w:sz w:val="22"/>
          <w:szCs w:val="22"/>
        </w:rPr>
        <w:t xml:space="preserve">Format Detection, OCR Tolerance &amp; Field Extraction</w:t>
      </w:r>
    </w:p>
    <w:p>
      <w:pPr>
        <w:spacing w:after="80" w:before="1600"/>
        <w:jc w:val="center"/>
      </w:pPr>
      <w:r>
        <w:rPr>
          <w:color w:val="555555"/>
          <w:sz w:val="20"/>
          <w:szCs w:val="20"/>
        </w:rPr>
        <w:t xml:space="preserve">Spirometry / Pulmonary Function Test Processing</w:t>
      </w:r>
    </w:p>
    <w:p>
      <w:pPr>
        <w:jc w:val="center"/>
      </w:pPr>
      <w:r>
        <w:rPr>
          <w:color w:val="555555"/>
          <w:sz w:val="20"/>
          <w:szCs w:val="20"/>
        </w:rPr>
        <w:t xml:space="preserve">Tel Aviv Medical Center — Research Database</w:t>
      </w:r>
    </w:p>
    <w:p>
      <w:pPr>
        <w:spacing w:before="800"/>
        <w:jc w:val="center"/>
      </w:pPr>
      <w:r>
        <w:rPr>
          <w:color w:val="666666"/>
          <w:sz w:val="18"/>
          <w:szCs w:val="18"/>
        </w:rPr>
        <w:t xml:space="preserve">Version 1.0  ·  July 2026</w:t>
      </w:r>
    </w:p>
    <w:p>
      <w:r>
        <w:br w:type="page"/>
      </w:r>
    </w:p>
    <w:p>
      <w:pPr>
        <w:pStyle w:val="Heading1"/>
        <w:spacing w:after="160" w:before="320"/>
      </w:pPr>
      <w:r>
        <w:rPr>
          <w:b/>
          <w:bCs/>
          <w:color w:val="1F5C8C"/>
          <w:sz w:val="32"/>
          <w:szCs w:val="32"/>
        </w:rPr>
        <w:t xml:space="preserve">1. Purpose and Scope</w:t>
      </w:r>
    </w:p>
    <w:p>
      <w:pPr>
        <w:spacing w:after="120" w:line="276"/>
      </w:pPr>
      <w:r>
        <w:rPr>
          <w:sz w:val="21"/>
          <w:szCs w:val="21"/>
        </w:rPr>
        <w:t xml:space="preserve">This document describes how the COPD PulmonWebApp extraction pipeline converts scanned spirometry and pulmonary function test (PFT) reports into structured data. It is intended as a technical reference for maintainers and as supporting documentation for the research database governed by Helsinki committee approval.</w:t>
      </w:r>
    </w:p>
    <w:p>
      <w:pPr>
        <w:spacing w:after="120" w:line="276"/>
      </w:pPr>
      <w:r>
        <w:rPr>
          <w:sz w:val="21"/>
          <w:szCs w:val="21"/>
        </w:rPr>
        <w:t xml:space="preserve">The pipeline handles multiple report layouts produced by pulmonary function testing equipment over several years. Older reports vary substantially in structure and scan quality, which makes robust optical character recognition (OCR) and format-aware parsing essential. The design choices documented here reflect systematic testing against a representative sample of real reports.</w:t>
      </w:r>
    </w:p>
    <w:p>
      <w:pPr>
        <w:pStyle w:val="Heading2"/>
        <w:spacing w:after="120" w:before="260"/>
      </w:pPr>
      <w:r>
        <w:rPr>
          <w:b/>
          <w:bCs/>
          <w:color w:val="222222"/>
          <w:sz w:val="26"/>
          <w:szCs w:val="26"/>
        </w:rPr>
        <w:t xml:space="preserve">Data privacy note</w:t>
      </w:r>
    </w:p>
    <w:p>
      <w:pPr>
        <w:spacing w:after="120" w:line="276"/>
      </w:pPr>
      <w:r>
        <w:rPr>
          <w:sz w:val="21"/>
          <w:szCs w:val="21"/>
        </w:rPr>
        <w:t xml:space="preserve">Real patient PDFs are processed only on local machines. Anonymized files are the only material permitted on cloud services. This constraint shapes the testing workflow: batch validation runs locally against real reports, and no identifiable material is transmitted to external services during development or debugging.</w:t>
      </w:r>
    </w:p>
    <w:p>
      <w:pPr>
        <w:pStyle w:val="Heading1"/>
        <w:spacing w:after="160" w:before="320"/>
      </w:pPr>
      <w:r>
        <w:rPr>
          <w:b/>
          <w:bCs/>
          <w:color w:val="1F5C8C"/>
          <w:sz w:val="32"/>
          <w:szCs w:val="32"/>
        </w:rPr>
        <w:t xml:space="preserve">2. Pipeline Overview</w:t>
      </w:r>
    </w:p>
    <w:p>
      <w:pPr>
        <w:spacing w:after="120" w:line="276"/>
      </w:pPr>
      <w:r>
        <w:rPr>
          <w:sz w:val="21"/>
          <w:szCs w:val="21"/>
        </w:rPr>
        <w:t xml:space="preserve">Each report passes through five stages, from raw PDF to a validated record written to the research database.</w:t>
      </w:r>
    </w:p>
    <w:p>
      <w:pPr>
        <w:pStyle w:val="Heading3"/>
        <w:spacing w:after="100" w:before="200"/>
      </w:pPr>
      <w:r>
        <w:rPr>
          <w:b/>
          <w:bCs/>
          <w:color w:val="333333"/>
          <w:sz w:val="22"/>
          <w:szCs w:val="22"/>
        </w:rPr>
        <w:t xml:space="preserve">Stage sequence</w:t>
      </w:r>
    </w:p>
    <w:p>
      <w:pPr>
        <w:pStyle w:val="ListParagraph"/>
        <w:numPr>
          <w:ilvl w:val="0"/>
          <w:numId w:val="1"/>
        </w:numPr>
        <w:spacing w:after="80"/>
      </w:pPr>
      <w:r>
        <w:rPr>
          <w:b/>
          <w:bCs/>
          <w:sz w:val="21"/>
          <w:szCs w:val="21"/>
        </w:rPr>
        <w:t xml:space="preserve">PDF to images — </w:t>
      </w:r>
      <w:r>
        <w:rPr>
          <w:sz w:val="21"/>
          <w:szCs w:val="21"/>
        </w:rPr>
        <w:t xml:space="preserve">the PDF is rendered to one or more raster images for OCR.</w:t>
      </w:r>
    </w:p>
    <w:p>
      <w:pPr>
        <w:pStyle w:val="ListParagraph"/>
        <w:numPr>
          <w:ilvl w:val="0"/>
          <w:numId w:val="1"/>
        </w:numPr>
        <w:spacing w:after="80"/>
      </w:pPr>
      <w:r>
        <w:rPr>
          <w:b/>
          <w:bCs/>
          <w:sz w:val="21"/>
          <w:szCs w:val="21"/>
        </w:rPr>
        <w:t xml:space="preserve">Format detection — </w:t>
      </w:r>
      <w:r>
        <w:rPr>
          <w:sz w:val="21"/>
          <w:szCs w:val="21"/>
        </w:rPr>
        <w:t xml:space="preserve">a dual-scan approach classifies the report as new-format or old-format before the main OCR pass, because the two families require different OCR engines.</w:t>
      </w:r>
    </w:p>
    <w:p>
      <w:pPr>
        <w:pStyle w:val="ListParagraph"/>
        <w:numPr>
          <w:ilvl w:val="0"/>
          <w:numId w:val="1"/>
        </w:numPr>
        <w:spacing w:after="80"/>
      </w:pPr>
      <w:r>
        <w:rPr>
          <w:b/>
          <w:bCs/>
          <w:sz w:val="21"/>
          <w:szCs w:val="21"/>
        </w:rPr>
        <w:t xml:space="preserve">OCR extraction — </w:t>
      </w:r>
      <w:r>
        <w:rPr>
          <w:sz w:val="21"/>
          <w:szCs w:val="21"/>
        </w:rPr>
        <w:t xml:space="preserve">each image is read across a sweep of image threshold levels, producing text at multiple binarization settings.</w:t>
      </w:r>
    </w:p>
    <w:p>
      <w:pPr>
        <w:pStyle w:val="ListParagraph"/>
        <w:numPr>
          <w:ilvl w:val="0"/>
          <w:numId w:val="1"/>
        </w:numPr>
        <w:spacing w:after="80"/>
      </w:pPr>
      <w:r>
        <w:rPr>
          <w:b/>
          <w:bCs/>
          <w:sz w:val="21"/>
          <w:szCs w:val="21"/>
        </w:rPr>
        <w:t xml:space="preserve">Field parsing and merge — </w:t>
      </w:r>
      <w:r>
        <w:rPr>
          <w:sz w:val="21"/>
          <w:szCs w:val="21"/>
        </w:rPr>
        <w:t xml:space="preserve">format-specific regular expressions extract each field; results are merged across all threshold iterations to maximize completeness.</w:t>
      </w:r>
    </w:p>
    <w:p>
      <w:pPr>
        <w:pStyle w:val="ListParagraph"/>
        <w:numPr>
          <w:ilvl w:val="0"/>
          <w:numId w:val="1"/>
        </w:numPr>
        <w:spacing w:after="80"/>
      </w:pPr>
      <w:r>
        <w:rPr>
          <w:b/>
          <w:bCs/>
          <w:sz w:val="21"/>
          <w:szCs w:val="21"/>
        </w:rPr>
        <w:t xml:space="preserve">Validation — </w:t>
      </w:r>
      <w:r>
        <w:rPr>
          <w:sz w:val="21"/>
          <w:szCs w:val="21"/>
        </w:rPr>
        <w:t xml:space="preserve">extracted values are checked for numeric plausibility and internal consistency before the record is accepted.</w:t>
      </w:r>
    </w:p>
    <w:p>
      <w:pPr>
        <w:pStyle w:val="Heading2"/>
        <w:spacing w:after="120" w:before="260"/>
      </w:pPr>
      <w:r>
        <w:rPr>
          <w:b/>
          <w:bCs/>
          <w:color w:val="222222"/>
          <w:sz w:val="26"/>
          <w:szCs w:val="26"/>
        </w:rPr>
        <w:t xml:space="preserve">Why OCR engine choice matters</w:t>
      </w:r>
    </w:p>
    <w:p>
      <w:pPr>
        <w:spacing w:after="120" w:line="276"/>
      </w:pPr>
      <w:r>
        <w:rPr>
          <w:sz w:val="21"/>
          <w:szCs w:val="21"/>
        </w:rPr>
        <w:t xml:space="preserve">The two report families are best served by different OCR engines. New-format reports use a spatial table structure that depends on row-grouping to associate labels with their values; this is handled well by EasyOCR, whose spatial grouping preserves table rows. Old-format reports, by contrast, are read more reliably by Tesseract. Routing an old-format report through the engine intended for new formats garbles its table structure and causes a large drop in extraction accuracy.</w:t>
      </w:r>
    </w:p>
    <w:p>
      <w:pPr>
        <w:spacing w:after="120" w:line="276"/>
      </w:pPr>
      <w:r>
        <w:rPr>
          <w:sz w:val="21"/>
          <w:szCs w:val="21"/>
        </w:rPr>
        <w:t xml:space="preserve">For this reason, format detection happens before the main extraction pass, and the classification must be correct early. A dual-scan step guards against misclassification that would otherwise cascade into total extraction failure.</w:t>
      </w:r>
    </w:p>
    <w:p>
      <w:r>
        <w:br w:type="page"/>
      </w:r>
    </w:p>
    <w:p>
      <w:pPr>
        <w:pStyle w:val="Heading1"/>
        <w:spacing w:after="160" w:before="320"/>
      </w:pPr>
      <w:r>
        <w:rPr>
          <w:b/>
          <w:bCs/>
          <w:color w:val="1F5C8C"/>
          <w:sz w:val="32"/>
          <w:szCs w:val="32"/>
        </w:rPr>
        <w:t xml:space="preserve">3. Format Detection and Classification</w:t>
      </w:r>
    </w:p>
    <w:p>
      <w:pPr>
        <w:spacing w:after="120" w:line="276"/>
      </w:pPr>
      <w:r>
        <w:rPr>
          <w:sz w:val="21"/>
          <w:szCs w:val="21"/>
        </w:rPr>
        <w:t xml:space="preserve">Classification proceeds in two levels. First, the report is assigned to a family (new or old). Second, within the old family, it is assigned to a sub-format based on which sections are present.</w:t>
      </w:r>
    </w:p>
    <w:p>
      <w:pPr>
        <w:pStyle w:val="Heading2"/>
        <w:spacing w:after="120" w:before="260"/>
      </w:pPr>
      <w:r>
        <w:rPr>
          <w:b/>
          <w:bCs/>
          <w:color w:val="222222"/>
          <w:sz w:val="26"/>
          <w:szCs w:val="26"/>
        </w:rPr>
        <w:t xml:space="preserve">Old-format sub-types</w:t>
      </w:r>
    </w:p>
    <w:p>
      <w:pPr>
        <w:spacing w:after="120" w:line="276"/>
      </w:pPr>
      <w:r>
        <w:rPr>
          <w:sz w:val="21"/>
          <w:szCs w:val="21"/>
        </w:rPr>
        <w:t xml:space="preserve">The old family contains three sub-formats, distinguished by the presence of a post-bronchodilator column and a lung-volume section: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400"/>
      </w:tblGrid>
      <w:tr>
        <w:trPr>
          <w:tblHeader/>
        </w:trPr>
        <w:tc>
          <w:tcPr>
            <w:tcW w:type="dxa" w:w="2400"/>
            <w:shd w:fill="1F5C8C" w:val="clear"/>
            <w:tcMar>
              <w:top w:type="dxa" w:w="60"/>
              <w:left w:type="dxa" w:w="100"/>
              <w:bottom w:type="dxa" w:w="60"/>
              <w:right w:type="dxa" w:w="100"/>
            </w:tcMar>
          </w:tcPr>
          <w:p>
            <w:r>
              <w:rPr>
                <w:b/>
                <w:bCs/>
                <w:color w:val="FFFFFF"/>
                <w:sz w:val="19"/>
                <w:szCs w:val="19"/>
              </w:rPr>
              <w:t xml:space="preserve">Sub-format</w:t>
            </w:r>
          </w:p>
        </w:tc>
        <w:tc>
          <w:tcPr>
            <w:tcW w:type="dxa" w:w="1400"/>
            <w:shd w:fill="1F5C8C" w:val="clear"/>
            <w:tcMar>
              <w:top w:type="dxa" w:w="60"/>
              <w:left w:type="dxa" w:w="100"/>
              <w:bottom w:type="dxa" w:w="60"/>
              <w:right w:type="dxa" w:w="100"/>
            </w:tcMar>
          </w:tcPr>
          <w:p>
            <w:r>
              <w:rPr>
                <w:b/>
                <w:bCs/>
                <w:color w:val="FFFFFF"/>
                <w:sz w:val="19"/>
                <w:szCs w:val="19"/>
              </w:rPr>
              <w:t xml:space="preserve">Post column</w:t>
            </w:r>
          </w:p>
        </w:tc>
        <w:tc>
          <w:tcPr>
            <w:tcW w:type="dxa" w:w="1400"/>
            <w:shd w:fill="1F5C8C" w:val="clear"/>
            <w:tcMar>
              <w:top w:type="dxa" w:w="60"/>
              <w:left w:type="dxa" w:w="100"/>
              <w:bottom w:type="dxa" w:w="60"/>
              <w:right w:type="dxa" w:w="100"/>
            </w:tcMar>
          </w:tcPr>
          <w:p>
            <w:r>
              <w:rPr>
                <w:b/>
                <w:bCs/>
                <w:color w:val="FFFFFF"/>
                <w:sz w:val="19"/>
                <w:szCs w:val="19"/>
              </w:rPr>
              <w:t xml:space="preserve">Lung volumes</w:t>
            </w:r>
          </w:p>
        </w:tc>
        <w:tc>
          <w:tcPr>
            <w:tcW w:type="dxa" w:w="3400"/>
            <w:shd w:fill="1F5C8C" w:val="clear"/>
            <w:tcMar>
              <w:top w:type="dxa" w:w="60"/>
              <w:left w:type="dxa" w:w="100"/>
              <w:bottom w:type="dxa" w:w="60"/>
              <w:right w:type="dxa" w:w="100"/>
            </w:tcMar>
          </w:tcPr>
          <w:p>
            <w:r>
              <w:rPr>
                <w:b/>
                <w:bCs/>
                <w:color w:val="FFFFFF"/>
                <w:sz w:val="19"/>
                <w:szCs w:val="19"/>
              </w:rPr>
              <w:t xml:space="preserve">Typical contents</w:t>
            </w:r>
          </w:p>
        </w:tc>
      </w:tr>
      <w:tr>
        <w:tc>
          <w:tcPr>
            <w:tcW w:type="dxa" w:w="2400"/>
            <w:shd w:fill="FFFFFF" w:val="clear"/>
            <w:tcMar>
              <w:top w:type="dxa" w:w="50"/>
              <w:left w:type="dxa" w:w="100"/>
              <w:bottom w:type="dxa" w:w="50"/>
              <w:right w:type="dxa" w:w="100"/>
            </w:tcMar>
          </w:tcPr>
          <w:p>
            <w:r>
              <w:rPr>
                <w:rFonts w:ascii="Consolas" w:cs="Consolas" w:eastAsia="Consolas" w:hAnsi="Consolas"/>
                <w:color w:val="222222"/>
                <w:sz w:val="19"/>
                <w:szCs w:val="19"/>
              </w:rPr>
              <w:t xml:space="preserve">OLD_FULL</w:t>
            </w:r>
          </w:p>
        </w:tc>
        <w:tc>
          <w:tcPr>
            <w:tcW w:type="dxa" w:w="1400"/>
            <w:shd w:fill="FFFFFF" w:val="clear"/>
            <w:tcMar>
              <w:top w:type="dxa" w:w="50"/>
              <w:left w:type="dxa" w:w="100"/>
              <w:bottom w:type="dxa" w:w="50"/>
              <w:right w:type="dxa" w:w="100"/>
            </w:tcMar>
          </w:tcPr>
          <w:p>
            <w:r>
              <w:rPr>
                <w:color w:val="222222"/>
                <w:sz w:val="19"/>
                <w:szCs w:val="19"/>
              </w:rPr>
              <w:t xml:space="preserve">Present</w:t>
            </w:r>
          </w:p>
        </w:tc>
        <w:tc>
          <w:tcPr>
            <w:tcW w:type="dxa" w:w="1400"/>
            <w:shd w:fill="FFFFFF" w:val="clear"/>
            <w:tcMar>
              <w:top w:type="dxa" w:w="50"/>
              <w:left w:type="dxa" w:w="100"/>
              <w:bottom w:type="dxa" w:w="50"/>
              <w:right w:type="dxa" w:w="100"/>
            </w:tcMar>
          </w:tcPr>
          <w:p>
            <w:r>
              <w:rPr>
                <w:color w:val="222222"/>
                <w:sz w:val="19"/>
                <w:szCs w:val="19"/>
              </w:rPr>
              <w:t xml:space="preserve">Present</w:t>
            </w:r>
          </w:p>
        </w:tc>
        <w:tc>
          <w:tcPr>
            <w:tcW w:type="dxa" w:w="3400"/>
            <w:shd w:fill="FFFFFF" w:val="clear"/>
            <w:tcMar>
              <w:top w:type="dxa" w:w="50"/>
              <w:left w:type="dxa" w:w="100"/>
              <w:bottom w:type="dxa" w:w="50"/>
              <w:right w:type="dxa" w:w="100"/>
            </w:tcMar>
          </w:tcPr>
          <w:p>
            <w:r>
              <w:rPr>
                <w:color w:val="222222"/>
                <w:sz w:val="19"/>
                <w:szCs w:val="19"/>
              </w:rPr>
              <w:t xml:space="preserve">Full spirometry + lung volumes (VC, TLC, RV) + DLCO</w:t>
            </w:r>
          </w:p>
        </w:tc>
      </w:tr>
      <w:tr>
        <w:tc>
          <w:tcPr>
            <w:tcW w:type="dxa" w:w="2400"/>
            <w:shd w:fill="F6F9FC" w:val="clear"/>
            <w:tcMar>
              <w:top w:type="dxa" w:w="50"/>
              <w:left w:type="dxa" w:w="100"/>
              <w:bottom w:type="dxa" w:w="50"/>
              <w:right w:type="dxa" w:w="100"/>
            </w:tcMar>
          </w:tcPr>
          <w:p>
            <w:r>
              <w:rPr>
                <w:rFonts w:ascii="Consolas" w:cs="Consolas" w:eastAsia="Consolas" w:hAnsi="Consolas"/>
                <w:color w:val="222222"/>
                <w:sz w:val="19"/>
                <w:szCs w:val="19"/>
              </w:rPr>
              <w:t xml:space="preserve">ONLY_SPIROMETRY_WITH_POST</w:t>
            </w:r>
          </w:p>
        </w:tc>
        <w:tc>
          <w:tcPr>
            <w:tcW w:type="dxa" w:w="1400"/>
            <w:shd w:fill="F6F9FC" w:val="clear"/>
            <w:tcMar>
              <w:top w:type="dxa" w:w="50"/>
              <w:left w:type="dxa" w:w="100"/>
              <w:bottom w:type="dxa" w:w="50"/>
              <w:right w:type="dxa" w:w="100"/>
            </w:tcMar>
          </w:tcPr>
          <w:p>
            <w:r>
              <w:rPr>
                <w:color w:val="222222"/>
                <w:sz w:val="19"/>
                <w:szCs w:val="19"/>
              </w:rPr>
              <w:t xml:space="preserve">Present</w:t>
            </w:r>
          </w:p>
        </w:tc>
        <w:tc>
          <w:tcPr>
            <w:tcW w:type="dxa" w:w="1400"/>
            <w:shd w:fill="F6F9FC" w:val="clear"/>
            <w:tcMar>
              <w:top w:type="dxa" w:w="50"/>
              <w:left w:type="dxa" w:w="100"/>
              <w:bottom w:type="dxa" w:w="50"/>
              <w:right w:type="dxa" w:w="100"/>
            </w:tcMar>
          </w:tcPr>
          <w:p>
            <w:r>
              <w:rPr>
                <w:color w:val="222222"/>
                <w:sz w:val="19"/>
                <w:szCs w:val="19"/>
              </w:rPr>
              <w:t xml:space="preserve">Absent</w:t>
            </w:r>
          </w:p>
        </w:tc>
        <w:tc>
          <w:tcPr>
            <w:tcW w:type="dxa" w:w="3400"/>
            <w:shd w:fill="F6F9FC" w:val="clear"/>
            <w:tcMar>
              <w:top w:type="dxa" w:w="50"/>
              <w:left w:type="dxa" w:w="100"/>
              <w:bottom w:type="dxa" w:w="50"/>
              <w:right w:type="dxa" w:w="100"/>
            </w:tcMar>
          </w:tcPr>
          <w:p>
            <w:r>
              <w:rPr>
                <w:color w:val="222222"/>
                <w:sz w:val="19"/>
                <w:szCs w:val="19"/>
              </w:rPr>
              <w:t xml:space="preserve">Spirometry with pre/post columns, no lung volumes</w:t>
            </w:r>
          </w:p>
        </w:tc>
      </w:tr>
      <w:tr>
        <w:tc>
          <w:tcPr>
            <w:tcW w:type="dxa" w:w="2400"/>
            <w:shd w:fill="FFFFFF" w:val="clear"/>
            <w:tcMar>
              <w:top w:type="dxa" w:w="50"/>
              <w:left w:type="dxa" w:w="100"/>
              <w:bottom w:type="dxa" w:w="50"/>
              <w:right w:type="dxa" w:w="100"/>
            </w:tcMar>
          </w:tcPr>
          <w:p>
            <w:r>
              <w:rPr>
                <w:rFonts w:ascii="Consolas" w:cs="Consolas" w:eastAsia="Consolas" w:hAnsi="Consolas"/>
                <w:color w:val="222222"/>
                <w:sz w:val="19"/>
                <w:szCs w:val="19"/>
              </w:rPr>
              <w:t xml:space="preserve">ONLY_SPIROMETRY_WITHOUT_POST</w:t>
            </w:r>
          </w:p>
        </w:tc>
        <w:tc>
          <w:tcPr>
            <w:tcW w:type="dxa" w:w="1400"/>
            <w:shd w:fill="FFFFFF" w:val="clear"/>
            <w:tcMar>
              <w:top w:type="dxa" w:w="50"/>
              <w:left w:type="dxa" w:w="100"/>
              <w:bottom w:type="dxa" w:w="50"/>
              <w:right w:type="dxa" w:w="100"/>
            </w:tcMar>
          </w:tcPr>
          <w:p>
            <w:r>
              <w:rPr>
                <w:color w:val="222222"/>
                <w:sz w:val="19"/>
                <w:szCs w:val="19"/>
              </w:rPr>
              <w:t xml:space="preserve">Absent</w:t>
            </w:r>
          </w:p>
        </w:tc>
        <w:tc>
          <w:tcPr>
            <w:tcW w:type="dxa" w:w="1400"/>
            <w:shd w:fill="FFFFFF" w:val="clear"/>
            <w:tcMar>
              <w:top w:type="dxa" w:w="50"/>
              <w:left w:type="dxa" w:w="100"/>
              <w:bottom w:type="dxa" w:w="50"/>
              <w:right w:type="dxa" w:w="100"/>
            </w:tcMar>
          </w:tcPr>
          <w:p>
            <w:r>
              <w:rPr>
                <w:color w:val="222222"/>
                <w:sz w:val="19"/>
                <w:szCs w:val="19"/>
              </w:rPr>
              <w:t xml:space="preserve">Varies</w:t>
            </w:r>
          </w:p>
        </w:tc>
        <w:tc>
          <w:tcPr>
            <w:tcW w:type="dxa" w:w="3400"/>
            <w:shd w:fill="FFFFFF" w:val="clear"/>
            <w:tcMar>
              <w:top w:type="dxa" w:w="50"/>
              <w:left w:type="dxa" w:w="100"/>
              <w:bottom w:type="dxa" w:w="50"/>
              <w:right w:type="dxa" w:w="100"/>
            </w:tcMar>
          </w:tcPr>
          <w:p>
            <w:r>
              <w:rPr>
                <w:color w:val="222222"/>
                <w:sz w:val="19"/>
                <w:szCs w:val="19"/>
              </w:rPr>
              <w:t xml:space="preserve">Spirometry, pre-bronchodilator only</w:t>
            </w:r>
          </w:p>
        </w:tc>
      </w:tr>
    </w:tbl>
    <w:p>
      <w:pPr>
        <w:spacing w:after="120" w:line="276"/>
      </w:pPr>
      <w:r>
        <w:rPr>
          <w:sz w:val="8"/>
          <w:szCs w:val="8"/>
        </w:rPr>
        <w:t xml:space="preserve"/>
      </w:r>
    </w:p>
    <w:p>
      <w:pPr>
        <w:pStyle w:val="Heading2"/>
        <w:spacing w:after="120" w:before="260"/>
      </w:pPr>
      <w:r>
        <w:rPr>
          <w:b/>
          <w:bCs/>
          <w:color w:val="222222"/>
          <w:sz w:val="26"/>
          <w:szCs w:val="26"/>
        </w:rPr>
        <w:t xml:space="preserve">Classification signals</w:t>
      </w:r>
    </w:p>
    <w:p>
      <w:pPr>
        <w:spacing w:after="120" w:line="276"/>
      </w:pPr>
      <w:r>
        <w:rPr>
          <w:sz w:val="21"/>
          <w:szCs w:val="21"/>
        </w:rPr>
        <w:t xml:space="preserve">Sub-format detection keys on the column-header row and the presence of at least one lung-volume row. Classification uses multi-field detection — any one of VC, TLC, or RV being present is sufficient to classify a report as containing lung volumes — rather than relying on a single anchor row. This tolerance matters because any individual row may be garbled by OCR, and requiring one specific row to parse would cause valid reports to be misclassified.</w:t>
      </w:r>
    </w:p>
    <w:p>
      <w:pPr>
        <w:pStyle w:val="Heading3"/>
        <w:spacing w:after="100" w:before="200"/>
      </w:pPr>
      <w:r>
        <w:rPr>
          <w:b/>
          <w:bCs/>
          <w:color w:val="333333"/>
          <w:sz w:val="22"/>
          <w:szCs w:val="22"/>
        </w:rPr>
        <w:t xml:space="preserve">Important: filename does not determine format</w:t>
      </w:r>
    </w:p>
    <w:p>
      <w:pPr>
        <w:spacing w:after="120" w:line="276"/>
      </w:pPr>
      <w:r>
        <w:rPr>
          <w:sz w:val="21"/>
          <w:szCs w:val="21"/>
        </w:rPr>
        <w:t xml:space="preserve">Report format is determined entirely by OCR content, never by filename. During testing it became clear that files named as one sub-type frequently contain another. A file whose name suggests spirometry-only may in fact contain full lung volumes, and vice versa. All format decisions must be driven by the parsed text.</w:t>
      </w:r>
    </w:p>
    <w:p>
      <w:r>
        <w:br w:type="page"/>
      </w:r>
    </w:p>
    <w:p>
      <w:pPr>
        <w:pStyle w:val="Heading1"/>
        <w:spacing w:after="160" w:before="320"/>
      </w:pPr>
      <w:r>
        <w:rPr>
          <w:b/>
          <w:bCs/>
          <w:color w:val="1F5C8C"/>
          <w:sz w:val="32"/>
          <w:szCs w:val="32"/>
        </w:rPr>
        <w:t xml:space="preserve">4. OCR Character Tolerance</w:t>
      </w:r>
    </w:p>
    <w:p>
      <w:pPr>
        <w:spacing w:after="120" w:line="276"/>
      </w:pPr>
      <w:r>
        <w:rPr>
          <w:sz w:val="21"/>
          <w:szCs w:val="21"/>
        </w:rPr>
        <w:t xml:space="preserve">OCR misreads on these reports are systematic rather than random. The same characters are confused in the same ways across many files, which means the parsing patterns can be broadened deliberately to absorb known misreads. The categories below account for the large majority of extraction failures observed during testing.</w:t>
      </w:r>
    </w:p>
    <w:p>
      <w:pPr>
        <w:pStyle w:val="Heading2"/>
        <w:spacing w:after="120" w:before="260"/>
      </w:pPr>
      <w:r>
        <w:rPr>
          <w:b/>
          <w:bCs/>
          <w:color w:val="222222"/>
          <w:sz w:val="26"/>
          <w:szCs w:val="26"/>
        </w:rPr>
        <w:t xml:space="preserve">Systematic confusion categories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700"/>
        <w:gridCol w:w="2600"/>
      </w:tblGrid>
      <w:tr>
        <w:trPr>
          <w:tblHeader/>
        </w:trPr>
        <w:tc>
          <w:tcPr>
            <w:tcW w:type="dxa" w:w="1900"/>
            <w:shd w:fill="1F5C8C" w:val="clear"/>
            <w:tcMar>
              <w:top w:type="dxa" w:w="60"/>
              <w:left w:type="dxa" w:w="100"/>
              <w:bottom w:type="dxa" w:w="60"/>
              <w:right w:type="dxa" w:w="100"/>
            </w:tcMar>
          </w:tcPr>
          <w:p>
            <w:r>
              <w:rPr>
                <w:b/>
                <w:bCs/>
                <w:color w:val="FFFFFF"/>
                <w:sz w:val="19"/>
                <w:szCs w:val="19"/>
              </w:rPr>
              <w:t xml:space="preserve">Category</w:t>
            </w:r>
          </w:p>
        </w:tc>
        <w:tc>
          <w:tcPr>
            <w:tcW w:type="dxa" w:w="1400"/>
            <w:shd w:fill="1F5C8C" w:val="clear"/>
            <w:tcMar>
              <w:top w:type="dxa" w:w="60"/>
              <w:left w:type="dxa" w:w="100"/>
              <w:bottom w:type="dxa" w:w="60"/>
              <w:right w:type="dxa" w:w="100"/>
            </w:tcMar>
          </w:tcPr>
          <w:p>
            <w:r>
              <w:rPr>
                <w:b/>
                <w:bCs/>
                <w:color w:val="FFFFFF"/>
                <w:sz w:val="19"/>
                <w:szCs w:val="19"/>
              </w:rPr>
              <w:t xml:space="preserve">True character</w:t>
            </w:r>
          </w:p>
        </w:tc>
        <w:tc>
          <w:tcPr>
            <w:tcW w:type="dxa" w:w="2700"/>
            <w:shd w:fill="1F5C8C" w:val="clear"/>
            <w:tcMar>
              <w:top w:type="dxa" w:w="60"/>
              <w:left w:type="dxa" w:w="100"/>
              <w:bottom w:type="dxa" w:w="60"/>
              <w:right w:type="dxa" w:w="100"/>
            </w:tcMar>
          </w:tcPr>
          <w:p>
            <w:r>
              <w:rPr>
                <w:b/>
                <w:bCs/>
                <w:color w:val="FFFFFF"/>
                <w:sz w:val="19"/>
                <w:szCs w:val="19"/>
              </w:rPr>
              <w:t xml:space="preserve">Observed misreads</w:t>
            </w:r>
          </w:p>
        </w:tc>
        <w:tc>
          <w:tcPr>
            <w:tcW w:type="dxa" w:w="2600"/>
            <w:shd w:fill="1F5C8C" w:val="clear"/>
            <w:tcMar>
              <w:top w:type="dxa" w:w="60"/>
              <w:left w:type="dxa" w:w="100"/>
              <w:bottom w:type="dxa" w:w="60"/>
              <w:right w:type="dxa" w:w="100"/>
            </w:tcMar>
          </w:tcPr>
          <w:p>
            <w:r>
              <w:rPr>
                <w:b/>
                <w:bCs/>
                <w:color w:val="FFFFFF"/>
                <w:sz w:val="19"/>
                <w:szCs w:val="19"/>
              </w:rPr>
              <w:t xml:space="preserve">Where it appears</w:t>
            </w:r>
          </w:p>
        </w:tc>
      </w:tr>
      <w:tr>
        <w:tc>
          <w:tcPr>
            <w:tcW w:type="dxa" w:w="1900"/>
            <w:shd w:fill="FFFFFF" w:val="clear"/>
            <w:tcMar>
              <w:top w:type="dxa" w:w="50"/>
              <w:left w:type="dxa" w:w="100"/>
              <w:bottom w:type="dxa" w:w="50"/>
              <w:right w:type="dxa" w:w="100"/>
            </w:tcMar>
          </w:tcPr>
          <w:p>
            <w:r>
              <w:rPr>
                <w:color w:val="222222"/>
                <w:sz w:val="19"/>
                <w:szCs w:val="19"/>
              </w:rPr>
              <w:t xml:space="preserve">Unit bracket</w:t>
            </w:r>
          </w:p>
        </w:tc>
        <w:tc>
          <w:tcPr>
            <w:tcW w:type="dxa" w:w="1400"/>
            <w:shd w:fill="FFFFFF" w:val="clear"/>
            <w:tcMar>
              <w:top w:type="dxa" w:w="50"/>
              <w:left w:type="dxa" w:w="100"/>
              <w:bottom w:type="dxa" w:w="50"/>
              <w:right w:type="dxa" w:w="100"/>
            </w:tcMar>
          </w:tcPr>
          <w:p>
            <w:r>
              <w:rPr>
                <w:rFonts w:ascii="Consolas" w:cs="Consolas" w:eastAsia="Consolas" w:hAnsi="Consolas"/>
                <w:color w:val="222222"/>
                <w:sz w:val="19"/>
                <w:szCs w:val="19"/>
              </w:rPr>
              <w:t xml:space="preserve">[L]</w:t>
            </w:r>
          </w:p>
        </w:tc>
        <w:tc>
          <w:tcPr>
            <w:tcW w:type="dxa" w:w="2700"/>
            <w:shd w:fill="FFFFFF" w:val="clear"/>
            <w:tcMar>
              <w:top w:type="dxa" w:w="50"/>
              <w:left w:type="dxa" w:w="100"/>
              <w:bottom w:type="dxa" w:w="50"/>
              <w:right w:type="dxa" w:w="100"/>
            </w:tcMar>
          </w:tcPr>
          <w:p>
            <w:r>
              <w:rPr>
                <w:rFonts w:ascii="Consolas" w:cs="Consolas" w:eastAsia="Consolas" w:hAnsi="Consolas"/>
                <w:color w:val="222222"/>
                <w:sz w:val="19"/>
                <w:szCs w:val="19"/>
              </w:rPr>
              <w:t xml:space="preserve">(LJ  (ul  {Ly  [b]  (t)  [h]  (%)</w:t>
            </w:r>
          </w:p>
        </w:tc>
        <w:tc>
          <w:tcPr>
            <w:tcW w:type="dxa" w:w="2600"/>
            <w:shd w:fill="FFFFFF" w:val="clear"/>
            <w:tcMar>
              <w:top w:type="dxa" w:w="50"/>
              <w:left w:type="dxa" w:w="100"/>
              <w:bottom w:type="dxa" w:w="50"/>
              <w:right w:type="dxa" w:w="100"/>
            </w:tcMar>
          </w:tcPr>
          <w:p>
            <w:r>
              <w:rPr>
                <w:color w:val="222222"/>
                <w:sz w:val="19"/>
                <w:szCs w:val="19"/>
              </w:rPr>
              <w:t xml:space="preserve">Every measurement row's unit column</w:t>
            </w:r>
          </w:p>
        </w:tc>
      </w:tr>
      <w:tr>
        <w:tc>
          <w:tcPr>
            <w:tcW w:type="dxa" w:w="1900"/>
            <w:shd w:fill="F6F9FC" w:val="clear"/>
            <w:tcMar>
              <w:top w:type="dxa" w:w="50"/>
              <w:left w:type="dxa" w:w="100"/>
              <w:bottom w:type="dxa" w:w="50"/>
              <w:right w:type="dxa" w:w="100"/>
            </w:tcMar>
          </w:tcPr>
          <w:p>
            <w:r>
              <w:rPr>
                <w:color w:val="222222"/>
                <w:sz w:val="19"/>
                <w:szCs w:val="19"/>
              </w:rPr>
              <w:t xml:space="preserve">Digit / letter one</w:t>
            </w:r>
          </w:p>
        </w:tc>
        <w:tc>
          <w:tcPr>
            <w:tcW w:type="dxa" w:w="1400"/>
            <w:shd w:fill="F6F9FC" w:val="clear"/>
            <w:tcMar>
              <w:top w:type="dxa" w:w="50"/>
              <w:left w:type="dxa" w:w="100"/>
              <w:bottom w:type="dxa" w:w="50"/>
              <w:right w:type="dxa" w:w="100"/>
            </w:tcMar>
          </w:tcPr>
          <w:p>
            <w:r>
              <w:rPr>
                <w:color w:val="222222"/>
                <w:sz w:val="19"/>
                <w:szCs w:val="19"/>
              </w:rPr>
              <w:t xml:space="preserve">1</w:t>
            </w:r>
          </w:p>
        </w:tc>
        <w:tc>
          <w:tcPr>
            <w:tcW w:type="dxa" w:w="2700"/>
            <w:shd w:fill="F6F9FC" w:val="clear"/>
            <w:tcMar>
              <w:top w:type="dxa" w:w="50"/>
              <w:left w:type="dxa" w:w="100"/>
              <w:bottom w:type="dxa" w:w="50"/>
              <w:right w:type="dxa" w:w="100"/>
            </w:tcMar>
          </w:tcPr>
          <w:p>
            <w:r>
              <w:rPr>
                <w:color w:val="222222"/>
                <w:sz w:val="19"/>
                <w:szCs w:val="19"/>
              </w:rPr>
              <w:t xml:space="preserve">i  I  l</w:t>
            </w:r>
          </w:p>
        </w:tc>
        <w:tc>
          <w:tcPr>
            <w:tcW w:type="dxa" w:w="2600"/>
            <w:shd w:fill="F6F9FC" w:val="clear"/>
            <w:tcMar>
              <w:top w:type="dxa" w:w="50"/>
              <w:left w:type="dxa" w:w="100"/>
              <w:bottom w:type="dxa" w:w="50"/>
              <w:right w:type="dxa" w:w="100"/>
            </w:tcMar>
          </w:tcPr>
          <w:p>
            <w:r>
              <w:rPr>
                <w:color w:val="222222"/>
                <w:sz w:val="19"/>
                <w:szCs w:val="19"/>
              </w:rPr>
              <w:t xml:space="preserve">FEV1 label; numeric values</w:t>
            </w:r>
          </w:p>
        </w:tc>
      </w:tr>
      <w:tr>
        <w:tc>
          <w:tcPr>
            <w:tcW w:type="dxa" w:w="1900"/>
            <w:shd w:fill="FFFFFF" w:val="clear"/>
            <w:tcMar>
              <w:top w:type="dxa" w:w="50"/>
              <w:left w:type="dxa" w:w="100"/>
              <w:bottom w:type="dxa" w:w="50"/>
              <w:right w:type="dxa" w:w="100"/>
            </w:tcMar>
          </w:tcPr>
          <w:p>
            <w:r>
              <w:rPr>
                <w:color w:val="222222"/>
                <w:sz w:val="19"/>
                <w:szCs w:val="19"/>
              </w:rPr>
              <w:t xml:space="preserve">Letter O / zero</w:t>
            </w:r>
          </w:p>
        </w:tc>
        <w:tc>
          <w:tcPr>
            <w:tcW w:type="dxa" w:w="1400"/>
            <w:shd w:fill="FFFFFF" w:val="clear"/>
            <w:tcMar>
              <w:top w:type="dxa" w:w="50"/>
              <w:left w:type="dxa" w:w="100"/>
              <w:bottom w:type="dxa" w:w="50"/>
              <w:right w:type="dxa" w:w="100"/>
            </w:tcMar>
          </w:tcPr>
          <w:p>
            <w:r>
              <w:rPr>
                <w:color w:val="222222"/>
                <w:sz w:val="19"/>
                <w:szCs w:val="19"/>
              </w:rPr>
              <w:t xml:space="preserve">O</w:t>
            </w:r>
          </w:p>
        </w:tc>
        <w:tc>
          <w:tcPr>
            <w:tcW w:type="dxa" w:w="2700"/>
            <w:shd w:fill="FFFFFF" w:val="clear"/>
            <w:tcMar>
              <w:top w:type="dxa" w:w="50"/>
              <w:left w:type="dxa" w:w="100"/>
              <w:bottom w:type="dxa" w:w="50"/>
              <w:right w:type="dxa" w:w="100"/>
            </w:tcMar>
          </w:tcPr>
          <w:p>
            <w:r>
              <w:rPr>
                <w:color w:val="222222"/>
                <w:sz w:val="19"/>
                <w:szCs w:val="19"/>
              </w:rPr>
              <w:t xml:space="preserve">0</w:t>
            </w:r>
          </w:p>
        </w:tc>
        <w:tc>
          <w:tcPr>
            <w:tcW w:type="dxa" w:w="2600"/>
            <w:shd w:fill="FFFFFF" w:val="clear"/>
            <w:tcMar>
              <w:top w:type="dxa" w:w="50"/>
              <w:left w:type="dxa" w:w="100"/>
              <w:bottom w:type="dxa" w:w="50"/>
              <w:right w:type="dxa" w:w="100"/>
            </w:tcMar>
          </w:tcPr>
          <w:p>
            <w:r>
              <w:rPr>
                <w:color w:val="222222"/>
                <w:sz w:val="19"/>
                <w:szCs w:val="19"/>
              </w:rPr>
              <w:t xml:space="preserve">Values and labels</w:t>
            </w:r>
          </w:p>
        </w:tc>
      </w:tr>
      <w:tr>
        <w:tc>
          <w:tcPr>
            <w:tcW w:type="dxa" w:w="1900"/>
            <w:shd w:fill="F6F9FC" w:val="clear"/>
            <w:tcMar>
              <w:top w:type="dxa" w:w="50"/>
              <w:left w:type="dxa" w:w="100"/>
              <w:bottom w:type="dxa" w:w="50"/>
              <w:right w:type="dxa" w:w="100"/>
            </w:tcMar>
          </w:tcPr>
          <w:p>
            <w:r>
              <w:rPr>
                <w:color w:val="222222"/>
                <w:sz w:val="19"/>
                <w:szCs w:val="19"/>
              </w:rPr>
              <w:t xml:space="preserve">Hyphen as decimal</w:t>
            </w:r>
          </w:p>
        </w:tc>
        <w:tc>
          <w:tcPr>
            <w:tcW w:type="dxa" w:w="1400"/>
            <w:shd w:fill="F6F9FC" w:val="clear"/>
            <w:tcMar>
              <w:top w:type="dxa" w:w="50"/>
              <w:left w:type="dxa" w:w="100"/>
              <w:bottom w:type="dxa" w:w="50"/>
              <w:right w:type="dxa" w:w="100"/>
            </w:tcMar>
          </w:tcPr>
          <w:p>
            <w:r>
              <w:rPr>
                <w:color w:val="222222"/>
                <w:sz w:val="19"/>
                <w:szCs w:val="19"/>
              </w:rPr>
              <w:t xml:space="preserve">.</w:t>
            </w:r>
          </w:p>
        </w:tc>
        <w:tc>
          <w:tcPr>
            <w:tcW w:type="dxa" w:w="2700"/>
            <w:shd w:fill="F6F9FC" w:val="clear"/>
            <w:tcMar>
              <w:top w:type="dxa" w:w="50"/>
              <w:left w:type="dxa" w:w="100"/>
              <w:bottom w:type="dxa" w:w="50"/>
              <w:right w:type="dxa" w:w="100"/>
            </w:tcMar>
          </w:tcPr>
          <w:p>
            <w:r>
              <w:rPr>
                <w:color w:val="222222"/>
                <w:sz w:val="19"/>
                <w:szCs w:val="19"/>
              </w:rPr>
              <w:t xml:space="preserve">-  (e.g. 1-39 for 1.39)</w:t>
            </w:r>
          </w:p>
        </w:tc>
        <w:tc>
          <w:tcPr>
            <w:tcW w:type="dxa" w:w="2600"/>
            <w:shd w:fill="F6F9FC" w:val="clear"/>
            <w:tcMar>
              <w:top w:type="dxa" w:w="50"/>
              <w:left w:type="dxa" w:w="100"/>
              <w:bottom w:type="dxa" w:w="50"/>
              <w:right w:type="dxa" w:w="100"/>
            </w:tcMar>
          </w:tcPr>
          <w:p>
            <w:r>
              <w:rPr>
                <w:color w:val="222222"/>
                <w:sz w:val="19"/>
                <w:szCs w:val="19"/>
              </w:rPr>
              <w:t xml:space="preserve">DLCO and derived values</w:t>
            </w:r>
          </w:p>
        </w:tc>
      </w:tr>
      <w:tr>
        <w:tc>
          <w:tcPr>
            <w:tcW w:type="dxa" w:w="1900"/>
            <w:shd w:fill="FFFFFF" w:val="clear"/>
            <w:tcMar>
              <w:top w:type="dxa" w:w="50"/>
              <w:left w:type="dxa" w:w="100"/>
              <w:bottom w:type="dxa" w:w="50"/>
              <w:right w:type="dxa" w:w="100"/>
            </w:tcMar>
          </w:tcPr>
          <w:p>
            <w:r>
              <w:rPr>
                <w:color w:val="222222"/>
                <w:sz w:val="19"/>
                <w:szCs w:val="19"/>
              </w:rPr>
              <w:t xml:space="preserve">Case variance</w:t>
            </w:r>
          </w:p>
        </w:tc>
        <w:tc>
          <w:tcPr>
            <w:tcW w:type="dxa" w:w="1400"/>
            <w:shd w:fill="FFFFFF" w:val="clear"/>
            <w:tcMar>
              <w:top w:type="dxa" w:w="50"/>
              <w:left w:type="dxa" w:w="100"/>
              <w:bottom w:type="dxa" w:w="50"/>
              <w:right w:type="dxa" w:w="100"/>
            </w:tcMar>
          </w:tcPr>
          <w:p>
            <w:r>
              <w:rPr>
                <w:color w:val="222222"/>
                <w:sz w:val="19"/>
                <w:szCs w:val="19"/>
              </w:rPr>
              <w:t xml:space="preserve">FVC</w:t>
            </w:r>
          </w:p>
        </w:tc>
        <w:tc>
          <w:tcPr>
            <w:tcW w:type="dxa" w:w="2700"/>
            <w:shd w:fill="FFFFFF" w:val="clear"/>
            <w:tcMar>
              <w:top w:type="dxa" w:w="50"/>
              <w:left w:type="dxa" w:w="100"/>
              <w:bottom w:type="dxa" w:w="50"/>
              <w:right w:type="dxa" w:w="100"/>
            </w:tcMar>
          </w:tcPr>
          <w:p>
            <w:r>
              <w:rPr>
                <w:color w:val="222222"/>
                <w:sz w:val="19"/>
                <w:szCs w:val="19"/>
              </w:rPr>
              <w:t xml:space="preserve">Fvc  FvC  fvc</w:t>
            </w:r>
          </w:p>
        </w:tc>
        <w:tc>
          <w:tcPr>
            <w:tcW w:type="dxa" w:w="2600"/>
            <w:shd w:fill="FFFFFF" w:val="clear"/>
            <w:tcMar>
              <w:top w:type="dxa" w:w="50"/>
              <w:left w:type="dxa" w:w="100"/>
              <w:bottom w:type="dxa" w:w="50"/>
              <w:right w:type="dxa" w:w="100"/>
            </w:tcMar>
          </w:tcPr>
          <w:p>
            <w:r>
              <w:rPr>
                <w:color w:val="222222"/>
                <w:sz w:val="19"/>
                <w:szCs w:val="19"/>
              </w:rPr>
              <w:t xml:space="preserve">Row labels</w:t>
            </w:r>
          </w:p>
        </w:tc>
      </w:tr>
      <w:tr>
        <w:tc>
          <w:tcPr>
            <w:tcW w:type="dxa" w:w="1900"/>
            <w:shd w:fill="F6F9FC" w:val="clear"/>
            <w:tcMar>
              <w:top w:type="dxa" w:w="50"/>
              <w:left w:type="dxa" w:w="100"/>
              <w:bottom w:type="dxa" w:w="50"/>
              <w:right w:type="dxa" w:w="100"/>
            </w:tcMar>
          </w:tcPr>
          <w:p>
            <w:r>
              <w:rPr>
                <w:color w:val="222222"/>
                <w:sz w:val="19"/>
                <w:szCs w:val="19"/>
              </w:rPr>
              <w:t xml:space="preserve">Label spacing</w:t>
            </w:r>
          </w:p>
        </w:tc>
        <w:tc>
          <w:tcPr>
            <w:tcW w:type="dxa" w:w="1400"/>
            <w:shd w:fill="F6F9FC" w:val="clear"/>
            <w:tcMar>
              <w:top w:type="dxa" w:w="50"/>
              <w:left w:type="dxa" w:w="100"/>
              <w:bottom w:type="dxa" w:w="50"/>
              <w:right w:type="dxa" w:w="100"/>
            </w:tcMar>
          </w:tcPr>
          <w:p>
            <w:r>
              <w:rPr>
                <w:color w:val="222222"/>
                <w:sz w:val="19"/>
                <w:szCs w:val="19"/>
              </w:rPr>
              <w:t xml:space="preserve">FEV1</w:t>
            </w:r>
          </w:p>
        </w:tc>
        <w:tc>
          <w:tcPr>
            <w:tcW w:type="dxa" w:w="2700"/>
            <w:shd w:fill="F6F9FC" w:val="clear"/>
            <w:tcMar>
              <w:top w:type="dxa" w:w="50"/>
              <w:left w:type="dxa" w:w="100"/>
              <w:bottom w:type="dxa" w:w="50"/>
              <w:right w:type="dxa" w:w="100"/>
            </w:tcMar>
          </w:tcPr>
          <w:p>
            <w:r>
              <w:rPr>
                <w:color w:val="222222"/>
                <w:sz w:val="19"/>
                <w:szCs w:val="19"/>
              </w:rPr>
              <w:t xml:space="preserve">FEV 1  (space inserted)</w:t>
            </w:r>
          </w:p>
        </w:tc>
        <w:tc>
          <w:tcPr>
            <w:tcW w:type="dxa" w:w="2600"/>
            <w:shd w:fill="F6F9FC" w:val="clear"/>
            <w:tcMar>
              <w:top w:type="dxa" w:w="50"/>
              <w:left w:type="dxa" w:w="100"/>
              <w:bottom w:type="dxa" w:w="50"/>
              <w:right w:type="dxa" w:w="100"/>
            </w:tcMar>
          </w:tcPr>
          <w:p>
            <w:r>
              <w:rPr>
                <w:color w:val="222222"/>
                <w:sz w:val="19"/>
                <w:szCs w:val="19"/>
              </w:rPr>
              <w:t xml:space="preserve">FEV1 row label</w:t>
            </w:r>
          </w:p>
        </w:tc>
      </w:tr>
      <w:tr>
        <w:tc>
          <w:tcPr>
            <w:tcW w:type="dxa" w:w="1900"/>
            <w:shd w:fill="FFFFFF" w:val="clear"/>
            <w:tcMar>
              <w:top w:type="dxa" w:w="50"/>
              <w:left w:type="dxa" w:w="100"/>
              <w:bottom w:type="dxa" w:w="50"/>
              <w:right w:type="dxa" w:w="100"/>
            </w:tcMar>
          </w:tcPr>
          <w:p>
            <w:r>
              <w:rPr>
                <w:color w:val="222222"/>
                <w:sz w:val="19"/>
                <w:szCs w:val="19"/>
              </w:rPr>
              <w:t xml:space="preserve">Percent artifacts</w:t>
            </w:r>
          </w:p>
        </w:tc>
        <w:tc>
          <w:tcPr>
            <w:tcW w:type="dxa" w:w="1400"/>
            <w:shd w:fill="FFFFFF" w:val="clear"/>
            <w:tcMar>
              <w:top w:type="dxa" w:w="50"/>
              <w:left w:type="dxa" w:w="100"/>
              <w:bottom w:type="dxa" w:w="50"/>
              <w:right w:type="dxa" w:w="100"/>
            </w:tcMar>
          </w:tcPr>
          <w:p>
            <w:r>
              <w:rPr>
                <w:color w:val="222222"/>
                <w:sz w:val="19"/>
                <w:szCs w:val="19"/>
              </w:rPr>
              <w:t xml:space="preserve">%</w:t>
            </w:r>
          </w:p>
        </w:tc>
        <w:tc>
          <w:tcPr>
            <w:tcW w:type="dxa" w:w="2700"/>
            <w:shd w:fill="FFFFFF" w:val="clear"/>
            <w:tcMar>
              <w:top w:type="dxa" w:w="50"/>
              <w:left w:type="dxa" w:w="100"/>
              <w:bottom w:type="dxa" w:w="50"/>
              <w:right w:type="dxa" w:w="100"/>
            </w:tcMar>
          </w:tcPr>
          <w:p>
            <w:r>
              <w:rPr>
                <w:color w:val="222222"/>
                <w:sz w:val="19"/>
                <w:szCs w:val="19"/>
              </w:rPr>
              <w:t xml:space="preserve">8  3  s  &amp;</w:t>
            </w:r>
          </w:p>
        </w:tc>
        <w:tc>
          <w:tcPr>
            <w:tcW w:type="dxa" w:w="2600"/>
            <w:shd w:fill="FFFFFF" w:val="clear"/>
            <w:tcMar>
              <w:top w:type="dxa" w:w="50"/>
              <w:left w:type="dxa" w:w="100"/>
              <w:bottom w:type="dxa" w:w="50"/>
              <w:right w:type="dxa" w:w="100"/>
            </w:tcMar>
          </w:tcPr>
          <w:p>
            <w:r>
              <w:rPr>
                <w:color w:val="222222"/>
                <w:sz w:val="19"/>
                <w:szCs w:val="19"/>
              </w:rPr>
              <w:t xml:space="preserve">Percentage columns</w:t>
            </w:r>
          </w:p>
        </w:tc>
      </w:tr>
      <w:tr>
        <w:tc>
          <w:tcPr>
            <w:tcW w:type="dxa" w:w="1900"/>
            <w:shd w:fill="F6F9FC" w:val="clear"/>
            <w:tcMar>
              <w:top w:type="dxa" w:w="50"/>
              <w:left w:type="dxa" w:w="100"/>
              <w:bottom w:type="dxa" w:w="50"/>
              <w:right w:type="dxa" w:w="100"/>
            </w:tcMar>
          </w:tcPr>
          <w:p>
            <w:r>
              <w:rPr>
                <w:color w:val="222222"/>
                <w:sz w:val="19"/>
                <w:szCs w:val="19"/>
              </w:rPr>
              <w:t xml:space="preserve">Out-of-range marks</w:t>
            </w:r>
          </w:p>
        </w:tc>
        <w:tc>
          <w:tcPr>
            <w:tcW w:type="dxa" w:w="1400"/>
            <w:shd w:fill="F6F9FC" w:val="clear"/>
            <w:tcMar>
              <w:top w:type="dxa" w:w="50"/>
              <w:left w:type="dxa" w:w="100"/>
              <w:bottom w:type="dxa" w:w="50"/>
              <w:right w:type="dxa" w:w="100"/>
            </w:tcMar>
          </w:tcPr>
          <w:p>
            <w:r>
              <w:rPr>
                <w:color w:val="222222"/>
                <w:sz w:val="19"/>
                <w:szCs w:val="19"/>
              </w:rPr>
              <w:t xml:space="preserve">(none)</w:t>
            </w:r>
          </w:p>
        </w:tc>
        <w:tc>
          <w:tcPr>
            <w:tcW w:type="dxa" w:w="2700"/>
            <w:shd w:fill="F6F9FC" w:val="clear"/>
            <w:tcMar>
              <w:top w:type="dxa" w:w="50"/>
              <w:left w:type="dxa" w:w="100"/>
              <w:bottom w:type="dxa" w:w="50"/>
              <w:right w:type="dxa" w:w="100"/>
            </w:tcMar>
          </w:tcPr>
          <w:p>
            <w:r>
              <w:rPr>
                <w:color w:val="222222"/>
                <w:sz w:val="19"/>
                <w:szCs w:val="19"/>
              </w:rPr>
              <w:t xml:space="preserve">»  «  (range flags)</w:t>
            </w:r>
          </w:p>
        </w:tc>
        <w:tc>
          <w:tcPr>
            <w:tcW w:type="dxa" w:w="2600"/>
            <w:shd w:fill="F6F9FC" w:val="clear"/>
            <w:tcMar>
              <w:top w:type="dxa" w:w="50"/>
              <w:left w:type="dxa" w:w="100"/>
              <w:bottom w:type="dxa" w:w="50"/>
              <w:right w:type="dxa" w:w="100"/>
            </w:tcMar>
          </w:tcPr>
          <w:p>
            <w:r>
              <w:rPr>
                <w:color w:val="222222"/>
                <w:sz w:val="19"/>
                <w:szCs w:val="19"/>
              </w:rPr>
              <w:t xml:space="preserve">Abnormal-value rows</w:t>
            </w:r>
          </w:p>
        </w:tc>
      </w:tr>
    </w:tbl>
    <w:p>
      <w:pPr>
        <w:spacing w:after="120" w:line="276"/>
      </w:pPr>
      <w:r>
        <w:rPr>
          <w:sz w:val="8"/>
          <w:szCs w:val="8"/>
        </w:rPr>
        <w:t xml:space="preserve"/>
      </w:r>
    </w:p>
    <w:p>
      <w:pPr>
        <w:pStyle w:val="Heading2"/>
        <w:spacing w:after="120" w:before="260"/>
      </w:pPr>
      <w:r>
        <w:rPr>
          <w:b/>
          <w:bCs/>
          <w:color w:val="222222"/>
          <w:sz w:val="26"/>
          <w:szCs w:val="26"/>
        </w:rPr>
        <w:t xml:space="preserve">Two complementary tolerance mechanisms</w:t>
      </w:r>
    </w:p>
    <w:p>
      <w:pPr>
        <w:spacing w:after="120" w:line="276"/>
      </w:pPr>
      <w:r>
        <w:rPr>
          <w:sz w:val="21"/>
          <w:szCs w:val="21"/>
        </w:rPr>
        <w:t xml:space="preserve">The pipeline handles these misreads in two places, which serve different purposes and should not be conflated:</w:t>
      </w:r>
    </w:p>
    <w:p>
      <w:pPr>
        <w:pStyle w:val="ListParagraph"/>
        <w:numPr>
          <w:ilvl w:val="0"/>
          <w:numId w:val="1"/>
        </w:numPr>
        <w:spacing w:after="80"/>
      </w:pPr>
      <w:r>
        <w:rPr>
          <w:b/>
          <w:bCs/>
          <w:sz w:val="21"/>
          <w:szCs w:val="21"/>
        </w:rPr>
        <w:t xml:space="preserve">Character normalization </w:t>
      </w:r>
      <w:r>
        <w:rPr>
          <w:sz w:val="21"/>
          <w:szCs w:val="21"/>
        </w:rPr>
        <w:t xml:space="preserve">runs on captured values to repair predictable substitutions — for example, converting a hyphen sitting between two digits into a decimal point, or mapping a lowercase letter that stands in for a digit. This cleans the value after it has been captured.</w:t>
      </w:r>
    </w:p>
    <w:p>
      <w:pPr>
        <w:pStyle w:val="ListParagraph"/>
        <w:numPr>
          <w:ilvl w:val="0"/>
          <w:numId w:val="1"/>
        </w:numPr>
        <w:spacing w:after="80"/>
      </w:pPr>
      <w:r>
        <w:rPr>
          <w:b/>
          <w:bCs/>
          <w:sz w:val="21"/>
          <w:szCs w:val="21"/>
        </w:rPr>
        <w:t xml:space="preserve">Broadened character classes </w:t>
      </w:r>
      <w:r>
        <w:rPr>
          <w:sz w:val="21"/>
          <w:szCs w:val="21"/>
        </w:rPr>
        <w:t xml:space="preserve">in the extraction patterns let a label or bracket match despite misreads, so the value is captured in the first place. Widening the accepted characters inside a unit bracket, for example, allows a row to match even when the bracket is badly garbled.</w:t>
      </w:r>
    </w:p>
    <w:p>
      <w:pPr>
        <w:spacing w:after="120" w:line="276"/>
      </w:pPr>
      <w:r>
        <w:rPr>
          <w:sz w:val="21"/>
          <w:szCs w:val="21"/>
        </w:rPr>
        <w:t xml:space="preserve">Both are needed. Normalization cannot help if the pattern never matches; broadened patterns cannot help if the captured value still contains a misread character that fails downstream validation.</w:t>
      </w:r>
    </w:p>
    <w:p>
      <w:r>
        <w:br w:type="page"/>
      </w:r>
    </w:p>
    <w:p>
      <w:pPr>
        <w:pStyle w:val="Heading1"/>
        <w:spacing w:after="160" w:before="320"/>
      </w:pPr>
      <w:r>
        <w:rPr>
          <w:b/>
          <w:bCs/>
          <w:color w:val="1F5C8C"/>
          <w:sz w:val="32"/>
          <w:szCs w:val="32"/>
        </w:rPr>
        <w:t xml:space="preserve">5. Threshold Sweep and Field-Level Merge</w:t>
      </w:r>
    </w:p>
    <w:p>
      <w:pPr>
        <w:spacing w:after="120" w:line="276"/>
      </w:pPr>
      <w:r>
        <w:rPr>
          <w:sz w:val="21"/>
          <w:szCs w:val="21"/>
        </w:rPr>
        <w:t xml:space="preserve">A single image binarization threshold rarely extracts every field. A threshold that reads one row cleanly may garble another. The pipeline exploits this by scanning across a range of threshold levels and merging the results.</w:t>
      </w:r>
    </w:p>
    <w:p>
      <w:pPr>
        <w:pStyle w:val="Heading2"/>
        <w:spacing w:after="120" w:before="260"/>
      </w:pPr>
      <w:r>
        <w:rPr>
          <w:b/>
          <w:bCs/>
          <w:color w:val="222222"/>
          <w:sz w:val="26"/>
          <w:szCs w:val="26"/>
        </w:rPr>
        <w:t xml:space="preserve">The core insight</w:t>
      </w:r>
    </w:p>
    <w:p>
      <w:pPr>
        <w:spacing w:after="120" w:line="276"/>
      </w:pPr>
      <w:r>
        <w:rPr>
          <w:sz w:val="21"/>
          <w:szCs w:val="21"/>
        </w:rPr>
        <w:t xml:space="preserve">Different fields reach their best legibility at different thresholds. Keeping only the single best-scoring threshold's full output discards correct values that appeared at other thresholds. Merging at the field level — assembling the final record from the best reading of each field across all thresholds — substantially improves completeness over any single-threshold result.</w:t>
      </w:r>
    </w:p>
    <w:p>
      <w:pPr>
        <w:pStyle w:val="Heading2"/>
        <w:spacing w:after="120" w:before="260"/>
      </w:pPr>
      <w:r>
        <w:rPr>
          <w:b/>
          <w:bCs/>
          <w:color w:val="222222"/>
          <w:sz w:val="26"/>
          <w:szCs w:val="26"/>
        </w:rPr>
        <w:t xml:space="preserve">Merge strategy by field type</w:t>
      </w:r>
    </w:p>
    <w:p>
      <w:pPr>
        <w:spacing w:after="120" w:line="276"/>
      </w:pPr>
      <w:r>
        <w:rPr>
          <w:sz w:val="21"/>
          <w:szCs w:val="21"/>
        </w:rPr>
        <w:t xml:space="preserve">Two merge strategies are used, chosen by the nature of the field: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00"/>
        <w:gridCol w:w="2400"/>
      </w:tblGrid>
      <w:tr>
        <w:trPr>
          <w:tblHeader/>
        </w:trPr>
        <w:tc>
          <w:tcPr>
            <w:tcW w:type="dxa" w:w="1700"/>
            <w:shd w:fill="1F5C8C" w:val="clear"/>
            <w:tcMar>
              <w:top w:type="dxa" w:w="60"/>
              <w:left w:type="dxa" w:w="100"/>
              <w:bottom w:type="dxa" w:w="60"/>
              <w:right w:type="dxa" w:w="100"/>
            </w:tcMar>
          </w:tcPr>
          <w:p>
            <w:r>
              <w:rPr>
                <w:b/>
                <w:bCs/>
                <w:color w:val="FFFFFF"/>
                <w:sz w:val="19"/>
                <w:szCs w:val="19"/>
              </w:rPr>
              <w:t xml:space="preserve">Field type</w:t>
            </w:r>
          </w:p>
        </w:tc>
        <w:tc>
          <w:tcPr>
            <w:tcW w:type="dxa" w:w="1900"/>
            <w:shd w:fill="1F5C8C" w:val="clear"/>
            <w:tcMar>
              <w:top w:type="dxa" w:w="60"/>
              <w:left w:type="dxa" w:w="100"/>
              <w:bottom w:type="dxa" w:w="60"/>
              <w:right w:type="dxa" w:w="100"/>
            </w:tcMar>
          </w:tcPr>
          <w:p>
            <w:r>
              <w:rPr>
                <w:b/>
                <w:bCs/>
                <w:color w:val="FFFFFF"/>
                <w:sz w:val="19"/>
                <w:szCs w:val="19"/>
              </w:rPr>
              <w:t xml:space="preserve">Examples</w:t>
            </w:r>
          </w:p>
        </w:tc>
        <w:tc>
          <w:tcPr>
            <w:tcW w:type="dxa" w:w="2500"/>
            <w:shd w:fill="1F5C8C" w:val="clear"/>
            <w:tcMar>
              <w:top w:type="dxa" w:w="60"/>
              <w:left w:type="dxa" w:w="100"/>
              <w:bottom w:type="dxa" w:w="60"/>
              <w:right w:type="dxa" w:w="100"/>
            </w:tcMar>
          </w:tcPr>
          <w:p>
            <w:r>
              <w:rPr>
                <w:b/>
                <w:bCs/>
                <w:color w:val="FFFFFF"/>
                <w:sz w:val="19"/>
                <w:szCs w:val="19"/>
              </w:rPr>
              <w:t xml:space="preserve">Merge strategy</w:t>
            </w:r>
          </w:p>
        </w:tc>
        <w:tc>
          <w:tcPr>
            <w:tcW w:type="dxa" w:w="2400"/>
            <w:shd w:fill="1F5C8C" w:val="clear"/>
            <w:tcMar>
              <w:top w:type="dxa" w:w="60"/>
              <w:left w:type="dxa" w:w="100"/>
              <w:bottom w:type="dxa" w:w="60"/>
              <w:right w:type="dxa" w:w="100"/>
            </w:tcMar>
          </w:tcPr>
          <w:p>
            <w:r>
              <w:rPr>
                <w:b/>
                <w:bCs/>
                <w:color w:val="FFFFFF"/>
                <w:sz w:val="19"/>
                <w:szCs w:val="19"/>
              </w:rPr>
              <w:t xml:space="preserve">Rationale</w:t>
            </w:r>
          </w:p>
        </w:tc>
      </w:tr>
      <w:tr>
        <w:tc>
          <w:tcPr>
            <w:tcW w:type="dxa" w:w="1700"/>
            <w:shd w:fill="FFFFFF" w:val="clear"/>
            <w:tcMar>
              <w:top w:type="dxa" w:w="50"/>
              <w:left w:type="dxa" w:w="100"/>
              <w:bottom w:type="dxa" w:w="50"/>
              <w:right w:type="dxa" w:w="100"/>
            </w:tcMar>
          </w:tcPr>
          <w:p>
            <w:r>
              <w:rPr>
                <w:color w:val="222222"/>
                <w:sz w:val="19"/>
                <w:szCs w:val="19"/>
              </w:rPr>
              <w:t xml:space="preserve">Measurement</w:t>
            </w:r>
          </w:p>
        </w:tc>
        <w:tc>
          <w:tcPr>
            <w:tcW w:type="dxa" w:w="1900"/>
            <w:shd w:fill="FFFFFF" w:val="clear"/>
            <w:tcMar>
              <w:top w:type="dxa" w:w="50"/>
              <w:left w:type="dxa" w:w="100"/>
              <w:bottom w:type="dxa" w:w="50"/>
              <w:right w:type="dxa" w:w="100"/>
            </w:tcMar>
          </w:tcPr>
          <w:p>
            <w:r>
              <w:rPr>
                <w:color w:val="222222"/>
                <w:sz w:val="19"/>
                <w:szCs w:val="19"/>
              </w:rPr>
              <w:t xml:space="preserve">FVC, FEV1, TLC, RV</w:t>
            </w:r>
          </w:p>
        </w:tc>
        <w:tc>
          <w:tcPr>
            <w:tcW w:type="dxa" w:w="2500"/>
            <w:shd w:fill="FFFFFF" w:val="clear"/>
            <w:tcMar>
              <w:top w:type="dxa" w:w="50"/>
              <w:left w:type="dxa" w:w="100"/>
              <w:bottom w:type="dxa" w:w="50"/>
              <w:right w:type="dxa" w:w="100"/>
            </w:tcMar>
          </w:tcPr>
          <w:p>
            <w:r>
              <w:rPr>
                <w:color w:val="222222"/>
                <w:sz w:val="19"/>
                <w:szCs w:val="19"/>
              </w:rPr>
              <w:t xml:space="preserve">First clean value across thresholds</w:t>
            </w:r>
          </w:p>
        </w:tc>
        <w:tc>
          <w:tcPr>
            <w:tcW w:type="dxa" w:w="2400"/>
            <w:shd w:fill="FFFFFF" w:val="clear"/>
            <w:tcMar>
              <w:top w:type="dxa" w:w="50"/>
              <w:left w:type="dxa" w:w="100"/>
              <w:bottom w:type="dxa" w:w="50"/>
              <w:right w:type="dxa" w:w="100"/>
            </w:tcMar>
          </w:tcPr>
          <w:p>
            <w:r>
              <w:rPr>
                <w:color w:val="222222"/>
                <w:sz w:val="19"/>
                <w:szCs w:val="19"/>
              </w:rPr>
              <w:t xml:space="preserve">Values pass a quality gate; first clean read is reliable</w:t>
            </w:r>
          </w:p>
        </w:tc>
      </w:tr>
      <w:tr>
        <w:tc>
          <w:tcPr>
            <w:tcW w:type="dxa" w:w="1700"/>
            <w:shd w:fill="F6F9FC" w:val="clear"/>
            <w:tcMar>
              <w:top w:type="dxa" w:w="50"/>
              <w:left w:type="dxa" w:w="100"/>
              <w:bottom w:type="dxa" w:w="50"/>
              <w:right w:type="dxa" w:w="100"/>
            </w:tcMar>
          </w:tcPr>
          <w:p>
            <w:r>
              <w:rPr>
                <w:color w:val="222222"/>
                <w:sz w:val="19"/>
                <w:szCs w:val="19"/>
              </w:rPr>
              <w:t xml:space="preserve">Demographic</w:t>
            </w:r>
          </w:p>
        </w:tc>
        <w:tc>
          <w:tcPr>
            <w:tcW w:type="dxa" w:w="1900"/>
            <w:shd w:fill="F6F9FC" w:val="clear"/>
            <w:tcMar>
              <w:top w:type="dxa" w:w="50"/>
              <w:left w:type="dxa" w:w="100"/>
              <w:bottom w:type="dxa" w:w="50"/>
              <w:right w:type="dxa" w:w="100"/>
            </w:tcMar>
          </w:tcPr>
          <w:p>
            <w:r>
              <w:rPr>
                <w:color w:val="222222"/>
                <w:sz w:val="19"/>
                <w:szCs w:val="19"/>
              </w:rPr>
              <w:t xml:space="preserve">Age, Sex, Height, ID, DOB</w:t>
            </w:r>
          </w:p>
        </w:tc>
        <w:tc>
          <w:tcPr>
            <w:tcW w:type="dxa" w:w="2500"/>
            <w:shd w:fill="F6F9FC" w:val="clear"/>
            <w:tcMar>
              <w:top w:type="dxa" w:w="50"/>
              <w:left w:type="dxa" w:w="100"/>
              <w:bottom w:type="dxa" w:w="50"/>
              <w:right w:type="dxa" w:w="100"/>
            </w:tcMar>
          </w:tcPr>
          <w:p>
            <w:r>
              <w:rPr>
                <w:color w:val="222222"/>
                <w:sz w:val="19"/>
                <w:szCs w:val="19"/>
              </w:rPr>
              <w:t xml:space="preserve">Most frequent value (mode)</w:t>
            </w:r>
          </w:p>
        </w:tc>
        <w:tc>
          <w:tcPr>
            <w:tcW w:type="dxa" w:w="2400"/>
            <w:shd w:fill="F6F9FC" w:val="clear"/>
            <w:tcMar>
              <w:top w:type="dxa" w:w="50"/>
              <w:left w:type="dxa" w:w="100"/>
              <w:bottom w:type="dxa" w:w="50"/>
              <w:right w:type="dxa" w:w="100"/>
            </w:tcMar>
          </w:tcPr>
          <w:p>
            <w:r>
              <w:rPr>
                <w:color w:val="222222"/>
                <w:sz w:val="19"/>
                <w:szCs w:val="19"/>
              </w:rPr>
              <w:t xml:space="preserve">Guards against a garbled early reading being locked in</w:t>
            </w:r>
          </w:p>
        </w:tc>
      </w:tr>
      <w:tr>
        <w:tc>
          <w:tcPr>
            <w:tcW w:type="dxa" w:w="1700"/>
            <w:shd w:fill="FFFFFF" w:val="clear"/>
            <w:tcMar>
              <w:top w:type="dxa" w:w="50"/>
              <w:left w:type="dxa" w:w="100"/>
              <w:bottom w:type="dxa" w:w="50"/>
              <w:right w:type="dxa" w:w="100"/>
            </w:tcMar>
          </w:tcPr>
          <w:p>
            <w:r>
              <w:rPr>
                <w:color w:val="222222"/>
                <w:sz w:val="19"/>
                <w:szCs w:val="19"/>
              </w:rPr>
              <w:t xml:space="preserve">Format</w:t>
            </w:r>
          </w:p>
        </w:tc>
        <w:tc>
          <w:tcPr>
            <w:tcW w:type="dxa" w:w="1900"/>
            <w:shd w:fill="FFFFFF" w:val="clear"/>
            <w:tcMar>
              <w:top w:type="dxa" w:w="50"/>
              <w:left w:type="dxa" w:w="100"/>
              <w:bottom w:type="dxa" w:w="50"/>
              <w:right w:type="dxa" w:w="100"/>
            </w:tcMar>
          </w:tcPr>
          <w:p>
            <w:r>
              <w:rPr>
                <w:color w:val="222222"/>
                <w:sz w:val="19"/>
                <w:szCs w:val="19"/>
              </w:rPr>
              <w:t xml:space="preserve">Report sub-type</w:t>
            </w:r>
          </w:p>
        </w:tc>
        <w:tc>
          <w:tcPr>
            <w:tcW w:type="dxa" w:w="2500"/>
            <w:shd w:fill="FFFFFF" w:val="clear"/>
            <w:tcMar>
              <w:top w:type="dxa" w:w="50"/>
              <w:left w:type="dxa" w:w="100"/>
              <w:bottom w:type="dxa" w:w="50"/>
              <w:right w:type="dxa" w:w="100"/>
            </w:tcMar>
          </w:tcPr>
          <w:p>
            <w:r>
              <w:rPr>
                <w:color w:val="222222"/>
                <w:sz w:val="19"/>
                <w:szCs w:val="19"/>
              </w:rPr>
              <w:t xml:space="preserve">Pinned from best-scoring iteration</w:t>
            </w:r>
          </w:p>
        </w:tc>
        <w:tc>
          <w:tcPr>
            <w:tcW w:type="dxa" w:w="2400"/>
            <w:shd w:fill="FFFFFF" w:val="clear"/>
            <w:tcMar>
              <w:top w:type="dxa" w:w="50"/>
              <w:left w:type="dxa" w:w="100"/>
              <w:bottom w:type="dxa" w:w="50"/>
              <w:right w:type="dxa" w:w="100"/>
            </w:tcMar>
          </w:tcPr>
          <w:p>
            <w:r>
              <w:rPr>
                <w:color w:val="222222"/>
                <w:sz w:val="19"/>
                <w:szCs w:val="19"/>
              </w:rPr>
              <w:t xml:space="preserve">Must be internally consistent, not merged piecemeal</w:t>
            </w:r>
          </w:p>
        </w:tc>
      </w:tr>
    </w:tbl>
    <w:p>
      <w:pPr>
        <w:spacing w:after="120" w:line="276"/>
      </w:pPr>
      <w:r>
        <w:rPr>
          <w:sz w:val="8"/>
          <w:szCs w:val="8"/>
        </w:rPr>
        <w:t xml:space="preserve"/>
      </w:r>
    </w:p>
    <w:p>
      <w:pPr>
        <w:pStyle w:val="Heading2"/>
        <w:spacing w:after="120" w:before="260"/>
      </w:pPr>
      <w:r>
        <w:rPr>
          <w:b/>
          <w:bCs/>
          <w:color w:val="222222"/>
          <w:sz w:val="26"/>
          <w:szCs w:val="26"/>
        </w:rPr>
        <w:t xml:space="preserve">Why demographic fields use mode selection</w:t>
      </w:r>
    </w:p>
    <w:p>
      <w:pPr>
        <w:spacing w:after="120" w:line="276"/>
      </w:pPr>
      <w:r>
        <w:rPr>
          <w:sz w:val="21"/>
          <w:szCs w:val="21"/>
        </w:rPr>
        <w:t xml:space="preserve">Demographic fields drive downstream reference-value calculations (for example, age and height feed the GLI and GOLD predicted values). An error in these fields propagates into every interpreted result for that patient. A first-clean-value strategy is fragile here: if a noisy early threshold produces a plausible but wrong reading — for instance an age with a transposed leading digit — that value is accepted and never revisited.</w:t>
      </w:r>
    </w:p>
    <w:p>
      <w:pPr>
        <w:spacing w:after="120" w:line="276"/>
      </w:pPr>
      <w:r>
        <w:rPr>
          <w:sz w:val="21"/>
          <w:szCs w:val="21"/>
        </w:rPr>
        <w:t xml:space="preserve">Mode selection instead collects every clean reading of the field across all thresholds and keeps the most frequent. Because the correct reading typically appears at many more thresholds than any single garbled one, the mode is far more robust for these high-stakes fields.</w:t>
      </w:r>
    </w:p>
    <w:p>
      <w:pPr>
        <w:pStyle w:val="Heading2"/>
        <w:spacing w:after="120" w:before="260"/>
      </w:pPr>
      <w:r>
        <w:rPr>
          <w:b/>
          <w:bCs/>
          <w:color w:val="222222"/>
          <w:sz w:val="26"/>
          <w:szCs w:val="26"/>
        </w:rPr>
        <w:t xml:space="preserve">Quality gate</w:t>
      </w:r>
    </w:p>
    <w:p>
      <w:pPr>
        <w:spacing w:after="120" w:line="276"/>
      </w:pPr>
      <w:r>
        <w:rPr>
          <w:sz w:val="21"/>
          <w:szCs w:val="21"/>
        </w:rPr>
        <w:t xml:space="preserve">Before any value is accepted into the merge, it passes a quality gate that rejects known artifacts of a bad read — for example, a value containing an isolated dot with no adjacent digit, or a stray hyphen in a non-numeric position. This prevents truncated or fragmentary readings from a poor threshold from populating a field that a cleaner threshold would fill correctly.</w:t>
      </w:r>
    </w:p>
    <w:p>
      <w:r>
        <w:br w:type="page"/>
      </w:r>
    </w:p>
    <w:p>
      <w:pPr>
        <w:pStyle w:val="Heading1"/>
        <w:spacing w:after="160" w:before="320"/>
      </w:pPr>
      <w:r>
        <w:rPr>
          <w:b/>
          <w:bCs/>
          <w:color w:val="1F5C8C"/>
          <w:sz w:val="32"/>
          <w:szCs w:val="32"/>
        </w:rPr>
        <w:t xml:space="preserve">6. Validation</w:t>
      </w:r>
    </w:p>
    <w:p>
      <w:pPr>
        <w:spacing w:after="120" w:line="276"/>
      </w:pPr>
      <w:r>
        <w:rPr>
          <w:sz w:val="21"/>
          <w:szCs w:val="21"/>
        </w:rPr>
        <w:t xml:space="preserve">After extraction and merge, each record is checked before acceptance. Validation serves two goals: catching residual OCR errors that survived extraction, and flagging clinically implausible values for review.</w:t>
      </w:r>
    </w:p>
    <w:p>
      <w:pPr>
        <w:pStyle w:val="Heading2"/>
        <w:spacing w:after="120" w:before="260"/>
      </w:pPr>
      <w:r>
        <w:rPr>
          <w:b/>
          <w:bCs/>
          <w:color w:val="222222"/>
          <w:sz w:val="26"/>
          <w:szCs w:val="26"/>
        </w:rPr>
        <w:t xml:space="preserve">Validation categories</w:t>
      </w:r>
    </w:p>
    <w:p>
      <w:pPr>
        <w:pStyle w:val="ListParagraph"/>
        <w:numPr>
          <w:ilvl w:val="0"/>
          <w:numId w:val="1"/>
        </w:numPr>
        <w:spacing w:after="80"/>
      </w:pPr>
      <w:r>
        <w:rPr>
          <w:b/>
          <w:bCs/>
          <w:sz w:val="21"/>
          <w:szCs w:val="21"/>
        </w:rPr>
        <w:t xml:space="preserve">Numeric validation </w:t>
      </w:r>
      <w:r>
        <w:rPr>
          <w:sz w:val="21"/>
          <w:szCs w:val="21"/>
        </w:rPr>
        <w:t xml:space="preserve">confirms a captured value parses as a number in the expected form.</w:t>
      </w:r>
    </w:p>
    <w:p>
      <w:pPr>
        <w:pStyle w:val="ListParagraph"/>
        <w:numPr>
          <w:ilvl w:val="0"/>
          <w:numId w:val="1"/>
        </w:numPr>
        <w:spacing w:after="80"/>
      </w:pPr>
      <w:r>
        <w:rPr>
          <w:b/>
          <w:bCs/>
          <w:sz w:val="21"/>
          <w:szCs w:val="21"/>
        </w:rPr>
        <w:t xml:space="preserve">Consistency checks </w:t>
      </w:r>
      <w:r>
        <w:rPr>
          <w:sz w:val="21"/>
          <w:szCs w:val="21"/>
        </w:rPr>
        <w:t xml:space="preserve">compare related values — for example, a percentage column against the ratio of the underlying measured and predicted values it should represent.</w:t>
      </w:r>
    </w:p>
    <w:p>
      <w:pPr>
        <w:pStyle w:val="ListParagraph"/>
        <w:numPr>
          <w:ilvl w:val="0"/>
          <w:numId w:val="1"/>
        </w:numPr>
        <w:spacing w:after="80"/>
      </w:pPr>
      <w:r>
        <w:rPr>
          <w:b/>
          <w:bCs/>
          <w:sz w:val="21"/>
          <w:szCs w:val="21"/>
        </w:rPr>
        <w:t xml:space="preserve">Completeness checks </w:t>
      </w:r>
      <w:r>
        <w:rPr>
          <w:sz w:val="21"/>
          <w:szCs w:val="21"/>
        </w:rPr>
        <w:t xml:space="preserve">distinguish a field that was genuinely blank on the report from one that failed to extract.</w:t>
      </w:r>
    </w:p>
    <w:p>
      <w:pPr>
        <w:pStyle w:val="Heading2"/>
        <w:spacing w:after="120" w:before="260"/>
      </w:pPr>
      <w:r>
        <w:rPr>
          <w:b/>
          <w:bCs/>
          <w:color w:val="222222"/>
          <w:sz w:val="26"/>
          <w:szCs w:val="26"/>
        </w:rPr>
        <w:t xml:space="preserve">Blank versus missing</w:t>
      </w:r>
    </w:p>
    <w:p>
      <w:pPr>
        <w:spacing w:after="120" w:line="276"/>
      </w:pPr>
      <w:r>
        <w:rPr>
          <w:sz w:val="21"/>
          <w:szCs w:val="21"/>
        </w:rPr>
        <w:t xml:space="preserve">A recurring subtlety is that some fields are legitimately blank on the source report — a patient may not have a value in a given column. The pipeline distinguishes this from an extraction failure. A field that is blank on the report and correctly returns no value is not an error, and validation messages reflect this distinction so that reviewers are not sent to investigate values that never existed.</w:t>
      </w:r>
    </w:p>
    <w:p>
      <w:pPr>
        <w:pStyle w:val="Heading2"/>
        <w:spacing w:after="120" w:before="260"/>
      </w:pPr>
      <w:r>
        <w:rPr>
          <w:b/>
          <w:bCs/>
          <w:color w:val="222222"/>
          <w:sz w:val="26"/>
          <w:szCs w:val="26"/>
        </w:rPr>
        <w:t xml:space="preserve">Known edge cases set aside</w:t>
      </w:r>
    </w:p>
    <w:p>
      <w:pPr>
        <w:spacing w:after="120" w:line="276"/>
      </w:pPr>
      <w:r>
        <w:rPr>
          <w:sz w:val="21"/>
          <w:szCs w:val="21"/>
        </w:rPr>
        <w:t xml:space="preserve">Some reports have structural anomalies that are intentionally deferred rather than over-engineered for. One representative example has out-of-range markers on several rows and a spirometry section that omits the predicted and lower-limit columns entirely, breaking the expected value sequence. Such reports are isolated and set aside for individual handling rather than distorting the general patterns to accommodate them.</w:t>
      </w:r>
    </w:p>
    <w:p>
      <w:r>
        <w:br w:type="page"/>
      </w:r>
    </w:p>
    <w:p>
      <w:pPr>
        <w:pStyle w:val="Heading1"/>
        <w:spacing w:after="160" w:before="320"/>
      </w:pPr>
      <w:r>
        <w:rPr>
          <w:b/>
          <w:bCs/>
          <w:color w:val="1F5C8C"/>
          <w:sz w:val="32"/>
          <w:szCs w:val="32"/>
        </w:rPr>
        <w:t xml:space="preserve">7. Clinical Interpretation Logic</w:t>
      </w:r>
    </w:p>
    <w:p>
      <w:pPr>
        <w:spacing w:after="120" w:line="276"/>
      </w:pPr>
      <w:r>
        <w:rPr>
          <w:sz w:val="21"/>
          <w:szCs w:val="21"/>
        </w:rPr>
        <w:t xml:space="preserve">Extracted values are interpreted against two diagnostic standards, so results can be compared across reference frameworks.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00"/>
      </w:tblGrid>
      <w:tr>
        <w:trPr>
          <w:tblHeader/>
        </w:trPr>
        <w:tc>
          <w:tcPr>
            <w:tcW w:type="dxa" w:w="2200"/>
            <w:shd w:fill="1F5C8C" w:val="clear"/>
            <w:tcMar>
              <w:top w:type="dxa" w:w="60"/>
              <w:left w:type="dxa" w:w="100"/>
              <w:bottom w:type="dxa" w:w="60"/>
              <w:right w:type="dxa" w:w="100"/>
            </w:tcMar>
          </w:tcPr>
          <w:p>
            <w:r>
              <w:rPr>
                <w:b/>
                <w:bCs/>
                <w:color w:val="FFFFFF"/>
                <w:sz w:val="19"/>
                <w:szCs w:val="19"/>
              </w:rPr>
              <w:t xml:space="preserve">Standard</w:t>
            </w:r>
          </w:p>
        </w:tc>
        <w:tc>
          <w:tcPr>
            <w:tcW w:type="dxa" w:w="2600"/>
            <w:shd w:fill="1F5C8C" w:val="clear"/>
            <w:tcMar>
              <w:top w:type="dxa" w:w="60"/>
              <w:left w:type="dxa" w:w="100"/>
              <w:bottom w:type="dxa" w:w="60"/>
              <w:right w:type="dxa" w:w="100"/>
            </w:tcMar>
          </w:tcPr>
          <w:p>
            <w:r>
              <w:rPr>
                <w:b/>
                <w:bCs/>
                <w:color w:val="FFFFFF"/>
                <w:sz w:val="19"/>
                <w:szCs w:val="19"/>
              </w:rPr>
              <w:t xml:space="preserve">Reference values</w:t>
            </w:r>
          </w:p>
        </w:tc>
        <w:tc>
          <w:tcPr>
            <w:tcW w:type="dxa" w:w="3900"/>
            <w:shd w:fill="1F5C8C" w:val="clear"/>
            <w:tcMar>
              <w:top w:type="dxa" w:w="60"/>
              <w:left w:type="dxa" w:w="100"/>
              <w:bottom w:type="dxa" w:w="60"/>
              <w:right w:type="dxa" w:w="100"/>
            </w:tcMar>
          </w:tcPr>
          <w:p>
            <w:r>
              <w:rPr>
                <w:b/>
                <w:bCs/>
                <w:color w:val="FFFFFF"/>
                <w:sz w:val="19"/>
                <w:szCs w:val="19"/>
              </w:rPr>
              <w:t xml:space="preserve">Notes</w:t>
            </w:r>
          </w:p>
        </w:tc>
      </w:tr>
      <w:tr>
        <w:tc>
          <w:tcPr>
            <w:tcW w:type="dxa" w:w="2200"/>
            <w:shd w:fill="FFFFFF" w:val="clear"/>
            <w:tcMar>
              <w:top w:type="dxa" w:w="50"/>
              <w:left w:type="dxa" w:w="100"/>
              <w:bottom w:type="dxa" w:w="50"/>
              <w:right w:type="dxa" w:w="100"/>
            </w:tcMar>
          </w:tcPr>
          <w:p>
            <w:r>
              <w:rPr>
                <w:color w:val="222222"/>
                <w:sz w:val="19"/>
                <w:szCs w:val="19"/>
              </w:rPr>
              <w:t xml:space="preserve">ERS 2022</w:t>
            </w:r>
          </w:p>
        </w:tc>
        <w:tc>
          <w:tcPr>
            <w:tcW w:type="dxa" w:w="2600"/>
            <w:shd w:fill="FFFFFF" w:val="clear"/>
            <w:tcMar>
              <w:top w:type="dxa" w:w="50"/>
              <w:left w:type="dxa" w:w="100"/>
              <w:bottom w:type="dxa" w:w="50"/>
              <w:right w:type="dxa" w:w="100"/>
            </w:tcMar>
          </w:tcPr>
          <w:p>
            <w:r>
              <w:rPr>
                <w:color w:val="222222"/>
                <w:sz w:val="19"/>
                <w:szCs w:val="19"/>
              </w:rPr>
              <w:t xml:space="preserve">GLI 2012</w:t>
            </w:r>
          </w:p>
        </w:tc>
        <w:tc>
          <w:tcPr>
            <w:tcW w:type="dxa" w:w="3900"/>
            <w:shd w:fill="FFFFFF" w:val="clear"/>
            <w:tcMar>
              <w:top w:type="dxa" w:w="50"/>
              <w:left w:type="dxa" w:w="100"/>
              <w:bottom w:type="dxa" w:w="50"/>
              <w:right w:type="dxa" w:w="100"/>
            </w:tcMar>
          </w:tcPr>
          <w:p>
            <w:r>
              <w:rPr>
                <w:color w:val="222222"/>
                <w:sz w:val="19"/>
                <w:szCs w:val="19"/>
              </w:rPr>
              <w:t xml:space="preserve">Log-normal LMS framework with height parameter</w:t>
            </w:r>
          </w:p>
        </w:tc>
      </w:tr>
      <w:tr>
        <w:tc>
          <w:tcPr>
            <w:tcW w:type="dxa" w:w="2200"/>
            <w:shd w:fill="F6F9FC" w:val="clear"/>
            <w:tcMar>
              <w:top w:type="dxa" w:w="50"/>
              <w:left w:type="dxa" w:w="100"/>
              <w:bottom w:type="dxa" w:w="50"/>
              <w:right w:type="dxa" w:w="100"/>
            </w:tcMar>
          </w:tcPr>
          <w:p>
            <w:r>
              <w:rPr>
                <w:color w:val="222222"/>
                <w:sz w:val="19"/>
                <w:szCs w:val="19"/>
              </w:rPr>
              <w:t xml:space="preserve">Traditional</w:t>
            </w:r>
          </w:p>
        </w:tc>
        <w:tc>
          <w:tcPr>
            <w:tcW w:type="dxa" w:w="2600"/>
            <w:shd w:fill="F6F9FC" w:val="clear"/>
            <w:tcMar>
              <w:top w:type="dxa" w:w="50"/>
              <w:left w:type="dxa" w:w="100"/>
              <w:bottom w:type="dxa" w:w="50"/>
              <w:right w:type="dxa" w:w="100"/>
            </w:tcMar>
          </w:tcPr>
          <w:p>
            <w:r>
              <w:rPr>
                <w:color w:val="222222"/>
                <w:sz w:val="19"/>
                <w:szCs w:val="19"/>
              </w:rPr>
              <w:t xml:space="preserve">GOLD / Murray equations</w:t>
            </w:r>
          </w:p>
        </w:tc>
        <w:tc>
          <w:tcPr>
            <w:tcW w:type="dxa" w:w="3900"/>
            <w:shd w:fill="F6F9FC" w:val="clear"/>
            <w:tcMar>
              <w:top w:type="dxa" w:w="50"/>
              <w:left w:type="dxa" w:w="100"/>
              <w:bottom w:type="dxa" w:w="50"/>
              <w:right w:type="dxa" w:w="100"/>
            </w:tcMar>
          </w:tcPr>
          <w:p>
            <w:r>
              <w:rPr>
                <w:color w:val="222222"/>
                <w:sz w:val="19"/>
                <w:szCs w:val="19"/>
              </w:rPr>
              <w:t xml:space="preserve">Equation-based lower limits with published residual SDs</w:t>
            </w:r>
          </w:p>
        </w:tc>
      </w:tr>
    </w:tbl>
    <w:p>
      <w:pPr>
        <w:spacing w:after="120" w:line="276"/>
      </w:pPr>
      <w:r>
        <w:rPr>
          <w:sz w:val="8"/>
          <w:szCs w:val="8"/>
        </w:rPr>
        <w:t xml:space="preserve"/>
      </w:r>
    </w:p>
    <w:p>
      <w:pPr>
        <w:spacing w:after="120" w:line="276"/>
      </w:pPr>
      <w:r>
        <w:rPr>
          <w:sz w:val="21"/>
          <w:szCs w:val="21"/>
        </w:rPr>
        <w:t xml:space="preserve">Lung-volume thresholds use the machine-provided lower-limit values where available. The interpretation arms were reviewed to ensure each severity branch is reachable and that ratio calculations use the correct statistical framework for the chosen standard.</w:t>
      </w:r>
    </w:p>
    <w:p>
      <w:pPr>
        <w:pStyle w:val="Heading2"/>
        <w:spacing w:after="120" w:before="260"/>
      </w:pPr>
      <w:r>
        <w:rPr>
          <w:b/>
          <w:bCs/>
          <w:color w:val="222222"/>
          <w:sz w:val="26"/>
          <w:szCs w:val="26"/>
        </w:rPr>
        <w:t xml:space="preserve">Why extraction accuracy on demographics matters here</w:t>
      </w:r>
    </w:p>
    <w:p>
      <w:pPr>
        <w:spacing w:after="120" w:line="276"/>
      </w:pPr>
      <w:r>
        <w:rPr>
          <w:sz w:val="21"/>
          <w:szCs w:val="21"/>
        </w:rPr>
        <w:t xml:space="preserve">Because both standards derive predicted values from patient age, height, and sex, any extraction error in those fields shifts every interpreted result for that patient. This is the direct link between the OCR robustness measures described earlier and the clinical validity of the output, and it is the reason demographic fields receive the more conservative mode-based merge.</w:t>
      </w:r>
    </w:p>
    <w:p>
      <w:r>
        <w:br w:type="page"/>
      </w:r>
    </w:p>
    <w:p>
      <w:pPr>
        <w:pStyle w:val="Heading1"/>
        <w:spacing w:after="160" w:before="320"/>
      </w:pPr>
      <w:r>
        <w:rPr>
          <w:b/>
          <w:bCs/>
          <w:color w:val="1F5C8C"/>
          <w:sz w:val="32"/>
          <w:szCs w:val="32"/>
        </w:rPr>
        <w:t xml:space="preserve">8. Testing Workflow</w:t>
      </w:r>
    </w:p>
    <w:p>
      <w:pPr>
        <w:spacing w:after="120" w:line="276"/>
      </w:pPr>
      <w:r>
        <w:rPr>
          <w:sz w:val="21"/>
          <w:szCs w:val="21"/>
        </w:rPr>
        <w:t xml:space="preserve">Extraction changes are validated by batch runs against a representative set of real reports, held locally. The workflow favours incremental, verifiable change.</w:t>
      </w:r>
    </w:p>
    <w:p>
      <w:pPr>
        <w:pStyle w:val="Heading2"/>
        <w:spacing w:after="120" w:before="260"/>
      </w:pPr>
      <w:r>
        <w:rPr>
          <w:b/>
          <w:bCs/>
          <w:color w:val="222222"/>
          <w:sz w:val="26"/>
          <w:szCs w:val="26"/>
        </w:rPr>
        <w:t xml:space="preserve">Principles</w:t>
      </w:r>
    </w:p>
    <w:p>
      <w:pPr>
        <w:pStyle w:val="ListParagraph"/>
        <w:numPr>
          <w:ilvl w:val="0"/>
          <w:numId w:val="1"/>
        </w:numPr>
        <w:spacing w:after="80"/>
      </w:pPr>
      <w:r>
        <w:rPr>
          <w:b/>
          <w:bCs/>
          <w:sz w:val="21"/>
          <w:szCs w:val="21"/>
        </w:rPr>
        <w:t xml:space="preserve">One sub-format at a time. </w:t>
      </w:r>
      <w:r>
        <w:rPr>
          <w:sz w:val="21"/>
          <w:szCs w:val="21"/>
        </w:rPr>
        <w:t xml:space="preserve">Fixes are scoped to a single sub-format and validated before moving on, so a change intended for one layout cannot silently affect another.</w:t>
      </w:r>
    </w:p>
    <w:p>
      <w:pPr>
        <w:pStyle w:val="ListParagraph"/>
        <w:numPr>
          <w:ilvl w:val="0"/>
          <w:numId w:val="1"/>
        </w:numPr>
        <w:spacing w:after="80"/>
      </w:pPr>
      <w:r>
        <w:rPr>
          <w:b/>
          <w:bCs/>
          <w:sz w:val="21"/>
          <w:szCs w:val="21"/>
        </w:rPr>
        <w:t xml:space="preserve">Batch runs between changes. </w:t>
      </w:r>
      <w:r>
        <w:rPr>
          <w:sz w:val="21"/>
          <w:szCs w:val="21"/>
        </w:rPr>
        <w:t xml:space="preserve">Each change is followed by a batch run so its effect — and any regression — is visible immediately.</w:t>
      </w:r>
    </w:p>
    <w:p>
      <w:pPr>
        <w:pStyle w:val="ListParagraph"/>
        <w:numPr>
          <w:ilvl w:val="0"/>
          <w:numId w:val="1"/>
        </w:numPr>
        <w:spacing w:after="80"/>
      </w:pPr>
      <w:r>
        <w:rPr>
          <w:b/>
          <w:bCs/>
          <w:sz w:val="21"/>
          <w:szCs w:val="21"/>
        </w:rPr>
        <w:t xml:space="preserve">Inspect the raw OCR, not just the result. </w:t>
      </w:r>
      <w:r>
        <w:rPr>
          <w:sz w:val="21"/>
          <w:szCs w:val="21"/>
        </w:rPr>
        <w:t xml:space="preserve">When a field fails, the raw OCR text is examined to distinguish a genuine misread from a pattern that is too strict.</w:t>
      </w:r>
    </w:p>
    <w:p>
      <w:pPr>
        <w:pStyle w:val="ListParagraph"/>
        <w:numPr>
          <w:ilvl w:val="0"/>
          <w:numId w:val="1"/>
        </w:numPr>
        <w:spacing w:after="80"/>
      </w:pPr>
      <w:r>
        <w:rPr>
          <w:b/>
          <w:bCs/>
          <w:sz w:val="21"/>
          <w:szCs w:val="21"/>
        </w:rPr>
        <w:t xml:space="preserve">Isolate edge cases. </w:t>
      </w:r>
      <w:r>
        <w:rPr>
          <w:sz w:val="21"/>
          <w:szCs w:val="21"/>
        </w:rPr>
        <w:t xml:space="preserve">Structurally anomalous reports are set aside rather than allowed to distort the general patterns.</w:t>
      </w:r>
    </w:p>
    <w:p>
      <w:pPr>
        <w:pStyle w:val="Heading2"/>
        <w:spacing w:after="120" w:before="260"/>
      </w:pPr>
      <w:r>
        <w:rPr>
          <w:b/>
          <w:bCs/>
          <w:color w:val="222222"/>
          <w:sz w:val="26"/>
          <w:szCs w:val="26"/>
        </w:rPr>
        <w:t xml:space="preserve">Interpreting batch output</w:t>
      </w:r>
    </w:p>
    <w:p>
      <w:pPr>
        <w:spacing w:after="120" w:line="276"/>
      </w:pPr>
      <w:r>
        <w:rPr>
          <w:sz w:val="21"/>
          <w:szCs w:val="21"/>
        </w:rPr>
        <w:t xml:space="preserve">Batch results report, per file, the detected format and whether each key field extracted, alongside validation messages. Reading these requires care: a validation message may indicate a genuine extraction problem, a value that is blank on the source report, or a clinically unusual but correct value. The first step in triage is always to determine which of these applies.</w:t>
      </w:r>
    </w:p>
    <w:p>
      <w:r>
        <w:br w:type="page"/>
      </w:r>
    </w:p>
    <w:p>
      <w:pPr>
        <w:pStyle w:val="Heading1"/>
        <w:spacing w:after="160" w:before="320"/>
      </w:pPr>
      <w:r>
        <w:rPr>
          <w:b/>
          <w:bCs/>
          <w:color w:val="1F5C8C"/>
          <w:sz w:val="32"/>
          <w:szCs w:val="32"/>
        </w:rPr>
        <w:t xml:space="preserve">Appendix: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5C8C" w:val="clear"/>
            <w:tcMar>
              <w:top w:type="dxa" w:w="60"/>
              <w:left w:type="dxa" w:w="100"/>
              <w:bottom w:type="dxa" w:w="60"/>
              <w:right w:type="dxa" w:w="100"/>
            </w:tcMar>
          </w:tcPr>
          <w:p>
            <w:r>
              <w:rPr>
                <w:b/>
                <w:bCs/>
                <w:color w:val="FFFFFF"/>
                <w:sz w:val="19"/>
                <w:szCs w:val="19"/>
              </w:rPr>
              <w:t xml:space="preserve">Term</w:t>
            </w:r>
          </w:p>
        </w:tc>
        <w:tc>
          <w:tcPr>
            <w:tcW w:type="dxa" w:w="6600"/>
            <w:shd w:fill="1F5C8C" w:val="clear"/>
            <w:tcMar>
              <w:top w:type="dxa" w:w="60"/>
              <w:left w:type="dxa" w:w="100"/>
              <w:bottom w:type="dxa" w:w="60"/>
              <w:right w:type="dxa" w:w="100"/>
            </w:tcMar>
          </w:tcPr>
          <w:p>
            <w:r>
              <w:rPr>
                <w:b/>
                <w:bCs/>
                <w:color w:val="FFFFFF"/>
                <w:sz w:val="19"/>
                <w:szCs w:val="19"/>
              </w:rPr>
              <w:t xml:space="preserve">Meaning</w:t>
            </w:r>
          </w:p>
        </w:tc>
      </w:tr>
      <w:tr>
        <w:tc>
          <w:tcPr>
            <w:tcW w:type="dxa" w:w="2400"/>
            <w:shd w:fill="FFFFFF" w:val="clear"/>
            <w:tcMar>
              <w:top w:type="dxa" w:w="50"/>
              <w:left w:type="dxa" w:w="100"/>
              <w:bottom w:type="dxa" w:w="50"/>
              <w:right w:type="dxa" w:w="100"/>
            </w:tcMar>
          </w:tcPr>
          <w:p>
            <w:r>
              <w:rPr>
                <w:color w:val="222222"/>
                <w:sz w:val="19"/>
                <w:szCs w:val="19"/>
              </w:rPr>
              <w:t xml:space="preserve">FVC</w:t>
            </w:r>
          </w:p>
        </w:tc>
        <w:tc>
          <w:tcPr>
            <w:tcW w:type="dxa" w:w="6600"/>
            <w:shd w:fill="FFFFFF" w:val="clear"/>
            <w:tcMar>
              <w:top w:type="dxa" w:w="50"/>
              <w:left w:type="dxa" w:w="100"/>
              <w:bottom w:type="dxa" w:w="50"/>
              <w:right w:type="dxa" w:w="100"/>
            </w:tcMar>
          </w:tcPr>
          <w:p>
            <w:r>
              <w:rPr>
                <w:color w:val="222222"/>
                <w:sz w:val="19"/>
                <w:szCs w:val="19"/>
              </w:rPr>
              <w:t xml:space="preserve">Forced vital capacity — total air exhaled during a forced breath</w:t>
            </w:r>
          </w:p>
        </w:tc>
      </w:tr>
      <w:tr>
        <w:tc>
          <w:tcPr>
            <w:tcW w:type="dxa" w:w="2400"/>
            <w:shd w:fill="F6F9FC" w:val="clear"/>
            <w:tcMar>
              <w:top w:type="dxa" w:w="50"/>
              <w:left w:type="dxa" w:w="100"/>
              <w:bottom w:type="dxa" w:w="50"/>
              <w:right w:type="dxa" w:w="100"/>
            </w:tcMar>
          </w:tcPr>
          <w:p>
            <w:r>
              <w:rPr>
                <w:color w:val="222222"/>
                <w:sz w:val="19"/>
                <w:szCs w:val="19"/>
              </w:rPr>
              <w:t xml:space="preserve">FEV1</w:t>
            </w:r>
          </w:p>
        </w:tc>
        <w:tc>
          <w:tcPr>
            <w:tcW w:type="dxa" w:w="6600"/>
            <w:shd w:fill="F6F9FC" w:val="clear"/>
            <w:tcMar>
              <w:top w:type="dxa" w:w="50"/>
              <w:left w:type="dxa" w:w="100"/>
              <w:bottom w:type="dxa" w:w="50"/>
              <w:right w:type="dxa" w:w="100"/>
            </w:tcMar>
          </w:tcPr>
          <w:p>
            <w:r>
              <w:rPr>
                <w:color w:val="222222"/>
                <w:sz w:val="19"/>
                <w:szCs w:val="19"/>
              </w:rPr>
              <w:t xml:space="preserve">Forced expiratory volume in one second</w:t>
            </w:r>
          </w:p>
        </w:tc>
      </w:tr>
      <w:tr>
        <w:tc>
          <w:tcPr>
            <w:tcW w:type="dxa" w:w="2400"/>
            <w:shd w:fill="FFFFFF" w:val="clear"/>
            <w:tcMar>
              <w:top w:type="dxa" w:w="50"/>
              <w:left w:type="dxa" w:w="100"/>
              <w:bottom w:type="dxa" w:w="50"/>
              <w:right w:type="dxa" w:w="100"/>
            </w:tcMar>
          </w:tcPr>
          <w:p>
            <w:r>
              <w:rPr>
                <w:color w:val="222222"/>
                <w:sz w:val="19"/>
                <w:szCs w:val="19"/>
              </w:rPr>
              <w:t xml:space="preserve">FEV1/FVC</w:t>
            </w:r>
          </w:p>
        </w:tc>
        <w:tc>
          <w:tcPr>
            <w:tcW w:type="dxa" w:w="6600"/>
            <w:shd w:fill="FFFFFF" w:val="clear"/>
            <w:tcMar>
              <w:top w:type="dxa" w:w="50"/>
              <w:left w:type="dxa" w:w="100"/>
              <w:bottom w:type="dxa" w:w="50"/>
              <w:right w:type="dxa" w:w="100"/>
            </w:tcMar>
          </w:tcPr>
          <w:p>
            <w:r>
              <w:rPr>
                <w:color w:val="222222"/>
                <w:sz w:val="19"/>
                <w:szCs w:val="19"/>
              </w:rPr>
              <w:t xml:space="preserve">Ratio of FEV1 to FVC; a key obstruction indicator</w:t>
            </w:r>
          </w:p>
        </w:tc>
      </w:tr>
      <w:tr>
        <w:tc>
          <w:tcPr>
            <w:tcW w:type="dxa" w:w="2400"/>
            <w:shd w:fill="F6F9FC" w:val="clear"/>
            <w:tcMar>
              <w:top w:type="dxa" w:w="50"/>
              <w:left w:type="dxa" w:w="100"/>
              <w:bottom w:type="dxa" w:w="50"/>
              <w:right w:type="dxa" w:w="100"/>
            </w:tcMar>
          </w:tcPr>
          <w:p>
            <w:r>
              <w:rPr>
                <w:color w:val="222222"/>
                <w:sz w:val="19"/>
                <w:szCs w:val="19"/>
              </w:rPr>
              <w:t xml:space="preserve">TLC</w:t>
            </w:r>
          </w:p>
        </w:tc>
        <w:tc>
          <w:tcPr>
            <w:tcW w:type="dxa" w:w="6600"/>
            <w:shd w:fill="F6F9FC" w:val="clear"/>
            <w:tcMar>
              <w:top w:type="dxa" w:w="50"/>
              <w:left w:type="dxa" w:w="100"/>
              <w:bottom w:type="dxa" w:w="50"/>
              <w:right w:type="dxa" w:w="100"/>
            </w:tcMar>
          </w:tcPr>
          <w:p>
            <w:r>
              <w:rPr>
                <w:color w:val="222222"/>
                <w:sz w:val="19"/>
                <w:szCs w:val="19"/>
              </w:rPr>
              <w:t xml:space="preserve">Total lung capacity</w:t>
            </w:r>
          </w:p>
        </w:tc>
      </w:tr>
      <w:tr>
        <w:tc>
          <w:tcPr>
            <w:tcW w:type="dxa" w:w="2400"/>
            <w:shd w:fill="FFFFFF" w:val="clear"/>
            <w:tcMar>
              <w:top w:type="dxa" w:w="50"/>
              <w:left w:type="dxa" w:w="100"/>
              <w:bottom w:type="dxa" w:w="50"/>
              <w:right w:type="dxa" w:w="100"/>
            </w:tcMar>
          </w:tcPr>
          <w:p>
            <w:r>
              <w:rPr>
                <w:color w:val="222222"/>
                <w:sz w:val="19"/>
                <w:szCs w:val="19"/>
              </w:rPr>
              <w:t xml:space="preserve">RV</w:t>
            </w:r>
          </w:p>
        </w:tc>
        <w:tc>
          <w:tcPr>
            <w:tcW w:type="dxa" w:w="6600"/>
            <w:shd w:fill="FFFFFF" w:val="clear"/>
            <w:tcMar>
              <w:top w:type="dxa" w:w="50"/>
              <w:left w:type="dxa" w:w="100"/>
              <w:bottom w:type="dxa" w:w="50"/>
              <w:right w:type="dxa" w:w="100"/>
            </w:tcMar>
          </w:tcPr>
          <w:p>
            <w:r>
              <w:rPr>
                <w:color w:val="222222"/>
                <w:sz w:val="19"/>
                <w:szCs w:val="19"/>
              </w:rPr>
              <w:t xml:space="preserve">Residual volume — air remaining after full exhalation</w:t>
            </w:r>
          </w:p>
        </w:tc>
      </w:tr>
      <w:tr>
        <w:tc>
          <w:tcPr>
            <w:tcW w:type="dxa" w:w="2400"/>
            <w:shd w:fill="F6F9FC" w:val="clear"/>
            <w:tcMar>
              <w:top w:type="dxa" w:w="50"/>
              <w:left w:type="dxa" w:w="100"/>
              <w:bottom w:type="dxa" w:w="50"/>
              <w:right w:type="dxa" w:w="100"/>
            </w:tcMar>
          </w:tcPr>
          <w:p>
            <w:r>
              <w:rPr>
                <w:color w:val="222222"/>
                <w:sz w:val="19"/>
                <w:szCs w:val="19"/>
              </w:rPr>
              <w:t xml:space="preserve">DLCO</w:t>
            </w:r>
          </w:p>
        </w:tc>
        <w:tc>
          <w:tcPr>
            <w:tcW w:type="dxa" w:w="6600"/>
            <w:shd w:fill="F6F9FC" w:val="clear"/>
            <w:tcMar>
              <w:top w:type="dxa" w:w="50"/>
              <w:left w:type="dxa" w:w="100"/>
              <w:bottom w:type="dxa" w:w="50"/>
              <w:right w:type="dxa" w:w="100"/>
            </w:tcMar>
          </w:tcPr>
          <w:p>
            <w:r>
              <w:rPr>
                <w:color w:val="222222"/>
                <w:sz w:val="19"/>
                <w:szCs w:val="19"/>
              </w:rPr>
              <w:t xml:space="preserve">Diffusing capacity for carbon monoxide</w:t>
            </w:r>
          </w:p>
        </w:tc>
      </w:tr>
      <w:tr>
        <w:tc>
          <w:tcPr>
            <w:tcW w:type="dxa" w:w="2400"/>
            <w:shd w:fill="FFFFFF" w:val="clear"/>
            <w:tcMar>
              <w:top w:type="dxa" w:w="50"/>
              <w:left w:type="dxa" w:w="100"/>
              <w:bottom w:type="dxa" w:w="50"/>
              <w:right w:type="dxa" w:w="100"/>
            </w:tcMar>
          </w:tcPr>
          <w:p>
            <w:r>
              <w:rPr>
                <w:color w:val="222222"/>
                <w:sz w:val="19"/>
                <w:szCs w:val="19"/>
              </w:rPr>
              <w:t xml:space="preserve">Pre / Post</w:t>
            </w:r>
          </w:p>
        </w:tc>
        <w:tc>
          <w:tcPr>
            <w:tcW w:type="dxa" w:w="6600"/>
            <w:shd w:fill="FFFFFF" w:val="clear"/>
            <w:tcMar>
              <w:top w:type="dxa" w:w="50"/>
              <w:left w:type="dxa" w:w="100"/>
              <w:bottom w:type="dxa" w:w="50"/>
              <w:right w:type="dxa" w:w="100"/>
            </w:tcMar>
          </w:tcPr>
          <w:p>
            <w:r>
              <w:rPr>
                <w:color w:val="222222"/>
                <w:sz w:val="19"/>
                <w:szCs w:val="19"/>
              </w:rPr>
              <w:t xml:space="preserve">Measurements before / after bronchodilator administration</w:t>
            </w:r>
          </w:p>
        </w:tc>
      </w:tr>
      <w:tr>
        <w:tc>
          <w:tcPr>
            <w:tcW w:type="dxa" w:w="2400"/>
            <w:shd w:fill="F6F9FC" w:val="clear"/>
            <w:tcMar>
              <w:top w:type="dxa" w:w="50"/>
              <w:left w:type="dxa" w:w="100"/>
              <w:bottom w:type="dxa" w:w="50"/>
              <w:right w:type="dxa" w:w="100"/>
            </w:tcMar>
          </w:tcPr>
          <w:p>
            <w:r>
              <w:rPr>
                <w:color w:val="222222"/>
                <w:sz w:val="19"/>
                <w:szCs w:val="19"/>
              </w:rPr>
              <w:t xml:space="preserve">Pred / LLN</w:t>
            </w:r>
          </w:p>
        </w:tc>
        <w:tc>
          <w:tcPr>
            <w:tcW w:type="dxa" w:w="6600"/>
            <w:shd w:fill="F6F9FC" w:val="clear"/>
            <w:tcMar>
              <w:top w:type="dxa" w:w="50"/>
              <w:left w:type="dxa" w:w="100"/>
              <w:bottom w:type="dxa" w:w="50"/>
              <w:right w:type="dxa" w:w="100"/>
            </w:tcMar>
          </w:tcPr>
          <w:p>
            <w:r>
              <w:rPr>
                <w:color w:val="222222"/>
                <w:sz w:val="19"/>
                <w:szCs w:val="19"/>
              </w:rPr>
              <w:t xml:space="preserve">Predicted value / lower limit of normal</w:t>
            </w:r>
          </w:p>
        </w:tc>
      </w:tr>
      <w:tr>
        <w:tc>
          <w:tcPr>
            <w:tcW w:type="dxa" w:w="2400"/>
            <w:shd w:fill="FFFFFF" w:val="clear"/>
            <w:tcMar>
              <w:top w:type="dxa" w:w="50"/>
              <w:left w:type="dxa" w:w="100"/>
              <w:bottom w:type="dxa" w:w="50"/>
              <w:right w:type="dxa" w:w="100"/>
            </w:tcMar>
          </w:tcPr>
          <w:p>
            <w:r>
              <w:rPr>
                <w:color w:val="222222"/>
                <w:sz w:val="19"/>
                <w:szCs w:val="19"/>
              </w:rPr>
              <w:t xml:space="preserve">GLI</w:t>
            </w:r>
          </w:p>
        </w:tc>
        <w:tc>
          <w:tcPr>
            <w:tcW w:type="dxa" w:w="6600"/>
            <w:shd w:fill="FFFFFF" w:val="clear"/>
            <w:tcMar>
              <w:top w:type="dxa" w:w="50"/>
              <w:left w:type="dxa" w:w="100"/>
              <w:bottom w:type="dxa" w:w="50"/>
              <w:right w:type="dxa" w:w="100"/>
            </w:tcMar>
          </w:tcPr>
          <w:p>
            <w:r>
              <w:rPr>
                <w:color w:val="222222"/>
                <w:sz w:val="19"/>
                <w:szCs w:val="19"/>
              </w:rPr>
              <w:t xml:space="preserve">Global Lung Function Initiative reference equations</w:t>
            </w:r>
          </w:p>
        </w:tc>
      </w:tr>
      <w:tr>
        <w:tc>
          <w:tcPr>
            <w:tcW w:type="dxa" w:w="2400"/>
            <w:shd w:fill="F6F9FC" w:val="clear"/>
            <w:tcMar>
              <w:top w:type="dxa" w:w="50"/>
              <w:left w:type="dxa" w:w="100"/>
              <w:bottom w:type="dxa" w:w="50"/>
              <w:right w:type="dxa" w:w="100"/>
            </w:tcMar>
          </w:tcPr>
          <w:p>
            <w:r>
              <w:rPr>
                <w:color w:val="222222"/>
                <w:sz w:val="19"/>
                <w:szCs w:val="19"/>
              </w:rPr>
              <w:t xml:space="preserve">GOLD</w:t>
            </w:r>
          </w:p>
        </w:tc>
        <w:tc>
          <w:tcPr>
            <w:tcW w:type="dxa" w:w="6600"/>
            <w:shd w:fill="F6F9FC" w:val="clear"/>
            <w:tcMar>
              <w:top w:type="dxa" w:w="50"/>
              <w:left w:type="dxa" w:w="100"/>
              <w:bottom w:type="dxa" w:w="50"/>
              <w:right w:type="dxa" w:w="100"/>
            </w:tcMar>
          </w:tcPr>
          <w:p>
            <w:r>
              <w:rPr>
                <w:color w:val="222222"/>
                <w:sz w:val="19"/>
                <w:szCs w:val="19"/>
              </w:rPr>
              <w:t xml:space="preserve">Global Initiative for Chronic Obstructive Lung Disease</w:t>
            </w:r>
          </w:p>
        </w:tc>
      </w:tr>
      <w:tr>
        <w:tc>
          <w:tcPr>
            <w:tcW w:type="dxa" w:w="2400"/>
            <w:shd w:fill="FFFFFF" w:val="clear"/>
            <w:tcMar>
              <w:top w:type="dxa" w:w="50"/>
              <w:left w:type="dxa" w:w="100"/>
              <w:bottom w:type="dxa" w:w="50"/>
              <w:right w:type="dxa" w:w="100"/>
            </w:tcMar>
          </w:tcPr>
          <w:p>
            <w:r>
              <w:rPr>
                <w:color w:val="222222"/>
                <w:sz w:val="19"/>
                <w:szCs w:val="19"/>
              </w:rPr>
              <w:t xml:space="preserve">Threshold sweep</w:t>
            </w:r>
          </w:p>
        </w:tc>
        <w:tc>
          <w:tcPr>
            <w:tcW w:type="dxa" w:w="6600"/>
            <w:shd w:fill="FFFFFF" w:val="clear"/>
            <w:tcMar>
              <w:top w:type="dxa" w:w="50"/>
              <w:left w:type="dxa" w:w="100"/>
              <w:bottom w:type="dxa" w:w="50"/>
              <w:right w:type="dxa" w:w="100"/>
            </w:tcMar>
          </w:tcPr>
          <w:p>
            <w:r>
              <w:rPr>
                <w:color w:val="222222"/>
                <w:sz w:val="19"/>
                <w:szCs w:val="19"/>
              </w:rPr>
              <w:t xml:space="preserve">Reading each image across a range of binarization settings</w:t>
            </w:r>
          </w:p>
        </w:tc>
      </w:tr>
      <w:tr>
        <w:tc>
          <w:tcPr>
            <w:tcW w:type="dxa" w:w="2400"/>
            <w:shd w:fill="F6F9FC" w:val="clear"/>
            <w:tcMar>
              <w:top w:type="dxa" w:w="50"/>
              <w:left w:type="dxa" w:w="100"/>
              <w:bottom w:type="dxa" w:w="50"/>
              <w:right w:type="dxa" w:w="100"/>
            </w:tcMar>
          </w:tcPr>
          <w:p>
            <w:r>
              <w:rPr>
                <w:color w:val="222222"/>
                <w:sz w:val="19"/>
                <w:szCs w:val="19"/>
              </w:rPr>
              <w:t xml:space="preserve">Mode merge</w:t>
            </w:r>
          </w:p>
        </w:tc>
        <w:tc>
          <w:tcPr>
            <w:tcW w:type="dxa" w:w="6600"/>
            <w:shd w:fill="F6F9FC" w:val="clear"/>
            <w:tcMar>
              <w:top w:type="dxa" w:w="50"/>
              <w:left w:type="dxa" w:w="100"/>
              <w:bottom w:type="dxa" w:w="50"/>
              <w:right w:type="dxa" w:w="100"/>
            </w:tcMar>
          </w:tcPr>
          <w:p>
            <w:r>
              <w:rPr>
                <w:color w:val="222222"/>
                <w:sz w:val="19"/>
                <w:szCs w:val="19"/>
              </w:rPr>
              <w:t xml:space="preserve">Selecting the most frequently observed value across readings</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Extraction Pipeline — Technical Reference</dc:title>
  <dc:creator>COPD PulmonWebApp</dc:creator>
  <cp:lastModifiedBy>Un-named</cp:lastModifiedBy>
  <cp:revision>1</cp:revision>
  <dcterms:created xsi:type="dcterms:W3CDTF">2026-07-06T09:23:12.937Z</dcterms:created>
  <dcterms:modified xsi:type="dcterms:W3CDTF">2026-07-06T09:23:12.954Z</dcterms:modified>
</cp:coreProperties>
</file>

<file path=docProps/custom.xml><?xml version="1.0" encoding="utf-8"?>
<Properties xmlns="http://schemas.openxmlformats.org/officeDocument/2006/custom-properties" xmlns:vt="http://schemas.openxmlformats.org/officeDocument/2006/docPropsVTypes"/>
</file>