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left"/>
      </w:pPr>
      <w:r>
        <w:rPr>
          <w:rFonts w:ascii="Aptos Display" w:hAnsi="Aptos Display"/>
          <w:b/>
          <w:color w:val="1F4E79"/>
          <w:sz w:val="48"/>
        </w:rPr>
        <w:t>00. Handoff Index and Reading Order</w:t>
      </w:r>
    </w:p>
    <w:p>
      <w:pPr>
        <w:spacing w:after="360"/>
        <w:jc w:val="left"/>
      </w:pPr>
      <w:r>
        <w:rPr>
          <w:color w:val="222222"/>
          <w:sz w:val="25"/>
        </w:rPr>
        <w:t>Master table of contents for the remaining delivery set.</w:t>
      </w:r>
    </w:p>
    <w:p>
      <w:pPr>
        <w:pStyle w:val="Small"/>
      </w:pPr>
      <w:r>
        <w:rPr>
          <w:b/>
        </w:rPr>
        <w:t>Version: v1</w:t>
        <w:br/>
      </w:r>
      <w:r>
        <w:t>Audience: Receiving AI Agent Team</w:t>
        <w:br/>
      </w:r>
      <w:r>
        <w:t>Project: Eclipse Vector: Fracture of the Veil</w:t>
        <w:br/>
      </w:r>
      <w:r>
        <w:t>Purpose: Implementation handoff for Codex-style autonomous development agents.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pStyle w:val="Box"/>
            </w:pPr>
            <w:r>
              <w:rPr>
                <w:b/>
              </w:rPr>
              <w:t xml:space="preserve">Operating note: </w:t>
            </w:r>
            <w:r>
              <w:t>This document is normative where it defines contracts, schemas, task boundaries, quality gates, or acceptance criteria. Agents should prefer explicit constraints over inferred behavior.</w:t>
            </w:r>
          </w:p>
        </w:tc>
      </w:tr>
    </w:tbl>
    <w:p/>
    <w:p>
      <w:pPr>
        <w:pStyle w:val="Heading1"/>
      </w:pPr>
      <w:r>
        <w:t>1. Package scope</w:t>
      </w:r>
    </w:p>
    <w:p>
      <w:r>
        <w:t>This bundle complements the already-issued Game Design Document, AI Agent Implementation Pack, and Technical Architecture Spec. It closes the remaining execution gaps for interface contracts, content authoring, pipelines, test strategy, and production control.</w:t>
      </w:r>
    </w:p>
    <w:p>
      <w:pPr>
        <w:pStyle w:val="Heading1"/>
      </w:pPr>
      <w:r>
        <w:t>2. Included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864"/>
            <w:shd w:fill="D9EAF7"/>
          </w:tcPr>
          <w:p>
            <w:r>
              <w:rPr>
                <w:b/>
              </w:rPr>
              <w:t>Doc</w:t>
            </w:r>
          </w:p>
        </w:tc>
        <w:tc>
          <w:tcPr>
            <w:tcW w:type="dxa" w:w="3168"/>
            <w:shd w:fill="D9EAF7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Read first when</w:t>
            </w:r>
          </w:p>
        </w:tc>
      </w:tr>
      <w:tr>
        <w:tc>
          <w:tcPr>
            <w:tcW w:type="dxa" w:w="864"/>
            <w:vAlign w:val="top"/>
          </w:tcPr>
          <w:p>
            <w:pPr>
              <w:pStyle w:val="Small"/>
            </w:pPr>
            <w:r>
              <w:t>01</w:t>
            </w:r>
          </w:p>
        </w:tc>
        <w:tc>
          <w:tcPr>
            <w:tcW w:type="dxa" w:w="3168"/>
            <w:vAlign w:val="top"/>
          </w:tcPr>
          <w:p>
            <w:pPr>
              <w:pStyle w:val="Small"/>
            </w:pPr>
            <w:r>
              <w:t>Interface Contract Spec</w:t>
            </w:r>
          </w:p>
        </w:tc>
        <w:tc>
          <w:tcPr>
            <w:tcW w:type="dxa" w:w="4320"/>
            <w:vAlign w:val="top"/>
          </w:tcPr>
          <w:p>
            <w:pPr>
              <w:pStyle w:val="Small"/>
            </w:pPr>
            <w:r>
              <w:t>Exact TypeScript-facing service boundaries, events, payloads, and ownership rules.</w:t>
            </w:r>
          </w:p>
        </w:tc>
        <w:tc>
          <w:tcPr>
            <w:tcW w:type="dxa" w:w="2016"/>
            <w:vAlign w:val="top"/>
          </w:tcPr>
          <w:p>
            <w:pPr>
              <w:pStyle w:val="Small"/>
            </w:pPr>
            <w:r>
              <w:t>All agents before coding</w:t>
            </w:r>
          </w:p>
        </w:tc>
      </w:tr>
      <w:tr>
        <w:tc>
          <w:tcPr>
            <w:tcW w:type="dxa" w:w="864"/>
            <w:vAlign w:val="top"/>
          </w:tcPr>
          <w:p>
            <w:pPr>
              <w:pStyle w:val="Small"/>
            </w:pPr>
            <w:r>
              <w:t>02</w:t>
            </w:r>
          </w:p>
        </w:tc>
        <w:tc>
          <w:tcPr>
            <w:tcW w:type="dxa" w:w="3168"/>
            <w:vAlign w:val="top"/>
          </w:tcPr>
          <w:p>
            <w:pPr>
              <w:pStyle w:val="Small"/>
            </w:pPr>
            <w:r>
              <w:t>Data Schema Dictionary</w:t>
            </w:r>
          </w:p>
        </w:tc>
        <w:tc>
          <w:tcPr>
            <w:tcW w:type="dxa" w:w="4320"/>
            <w:vAlign w:val="top"/>
          </w:tcPr>
          <w:p>
            <w:pPr>
              <w:pStyle w:val="Small"/>
            </w:pPr>
            <w:r>
              <w:t>Canonical JSON schemas, field semantics, validation rules, and migration notes.</w:t>
            </w:r>
          </w:p>
        </w:tc>
        <w:tc>
          <w:tcPr>
            <w:tcW w:type="dxa" w:w="2016"/>
            <w:vAlign w:val="top"/>
          </w:tcPr>
          <w:p>
            <w:pPr>
              <w:pStyle w:val="Small"/>
            </w:pPr>
            <w:r>
              <w:t>Gameplay, content, tooling agents</w:t>
            </w:r>
          </w:p>
        </w:tc>
      </w:tr>
      <w:tr>
        <w:tc>
          <w:tcPr>
            <w:tcW w:type="dxa" w:w="864"/>
            <w:vAlign w:val="top"/>
          </w:tcPr>
          <w:p>
            <w:pPr>
              <w:pStyle w:val="Small"/>
            </w:pPr>
            <w:r>
              <w:t>03</w:t>
            </w:r>
          </w:p>
        </w:tc>
        <w:tc>
          <w:tcPr>
            <w:tcW w:type="dxa" w:w="3168"/>
            <w:vAlign w:val="top"/>
          </w:tcPr>
          <w:p>
            <w:pPr>
              <w:pStyle w:val="Small"/>
            </w:pPr>
            <w:r>
              <w:t>Mission &amp; Narrative Authoring Guide</w:t>
            </w:r>
          </w:p>
        </w:tc>
        <w:tc>
          <w:tcPr>
            <w:tcW w:type="dxa" w:w="4320"/>
            <w:vAlign w:val="top"/>
          </w:tcPr>
          <w:p>
            <w:pPr>
              <w:pStyle w:val="Small"/>
            </w:pPr>
            <w:r>
              <w:t>How to author missions, dialogue, branches, fail-forward states, and consequences.</w:t>
            </w:r>
          </w:p>
        </w:tc>
        <w:tc>
          <w:tcPr>
            <w:tcW w:type="dxa" w:w="2016"/>
            <w:vAlign w:val="top"/>
          </w:tcPr>
          <w:p>
            <w:pPr>
              <w:pStyle w:val="Small"/>
            </w:pPr>
            <w:r>
              <w:t>Narrative/content agents</w:t>
            </w:r>
          </w:p>
        </w:tc>
      </w:tr>
      <w:tr>
        <w:tc>
          <w:tcPr>
            <w:tcW w:type="dxa" w:w="864"/>
            <w:vAlign w:val="top"/>
          </w:tcPr>
          <w:p>
            <w:pPr>
              <w:pStyle w:val="Small"/>
            </w:pPr>
            <w:r>
              <w:t>04</w:t>
            </w:r>
          </w:p>
        </w:tc>
        <w:tc>
          <w:tcPr>
            <w:tcW w:type="dxa" w:w="3168"/>
            <w:vAlign w:val="top"/>
          </w:tcPr>
          <w:p>
            <w:pPr>
              <w:pStyle w:val="Small"/>
            </w:pPr>
            <w:r>
              <w:t>Art / VFX / UI / Audio Pipeline Guide</w:t>
            </w:r>
          </w:p>
        </w:tc>
        <w:tc>
          <w:tcPr>
            <w:tcW w:type="dxa" w:w="4320"/>
            <w:vAlign w:val="top"/>
          </w:tcPr>
          <w:p>
            <w:pPr>
              <w:pStyle w:val="Small"/>
            </w:pPr>
            <w:r>
              <w:t>Asset budgets, rendering-safe VFX specs, shader usage, naming, and integration path.</w:t>
            </w:r>
          </w:p>
        </w:tc>
        <w:tc>
          <w:tcPr>
            <w:tcW w:type="dxa" w:w="2016"/>
            <w:vAlign w:val="top"/>
          </w:tcPr>
          <w:p>
            <w:pPr>
              <w:pStyle w:val="Small"/>
            </w:pPr>
            <w:r>
              <w:t>Art-tech, frontend, VFX agents</w:t>
            </w:r>
          </w:p>
        </w:tc>
      </w:tr>
      <w:tr>
        <w:tc>
          <w:tcPr>
            <w:tcW w:type="dxa" w:w="864"/>
            <w:vAlign w:val="top"/>
          </w:tcPr>
          <w:p>
            <w:pPr>
              <w:pStyle w:val="Small"/>
            </w:pPr>
            <w:r>
              <w:t>05</w:t>
            </w:r>
          </w:p>
        </w:tc>
        <w:tc>
          <w:tcPr>
            <w:tcW w:type="dxa" w:w="3168"/>
            <w:vAlign w:val="top"/>
          </w:tcPr>
          <w:p>
            <w:pPr>
              <w:pStyle w:val="Small"/>
            </w:pPr>
            <w:r>
              <w:t>QA, Automation, and Test Strategy</w:t>
            </w:r>
          </w:p>
        </w:tc>
        <w:tc>
          <w:tcPr>
            <w:tcW w:type="dxa" w:w="4320"/>
            <w:vAlign w:val="top"/>
          </w:tcPr>
          <w:p>
            <w:pPr>
              <w:pStyle w:val="Small"/>
            </w:pPr>
            <w:r>
              <w:t>Coverage goals, test pyramid, regression gates, telemetry checks, and bug packet format.</w:t>
            </w:r>
          </w:p>
        </w:tc>
        <w:tc>
          <w:tcPr>
            <w:tcW w:type="dxa" w:w="2016"/>
            <w:vAlign w:val="top"/>
          </w:tcPr>
          <w:p>
            <w:pPr>
              <w:pStyle w:val="Small"/>
            </w:pPr>
            <w:r>
              <w:t>QA and implementation agents</w:t>
            </w:r>
          </w:p>
        </w:tc>
      </w:tr>
      <w:tr>
        <w:tc>
          <w:tcPr>
            <w:tcW w:type="dxa" w:w="864"/>
            <w:vAlign w:val="top"/>
          </w:tcPr>
          <w:p>
            <w:pPr>
              <w:pStyle w:val="Small"/>
            </w:pPr>
            <w:r>
              <w:t>06</w:t>
            </w:r>
          </w:p>
        </w:tc>
        <w:tc>
          <w:tcPr>
            <w:tcW w:type="dxa" w:w="3168"/>
            <w:vAlign w:val="top"/>
          </w:tcPr>
          <w:p>
            <w:pPr>
              <w:pStyle w:val="Small"/>
            </w:pPr>
            <w:r>
              <w:t>Production Backlog and Agent Work Packets</w:t>
            </w:r>
          </w:p>
        </w:tc>
        <w:tc>
          <w:tcPr>
            <w:tcW w:type="dxa" w:w="4320"/>
            <w:vAlign w:val="top"/>
          </w:tcPr>
          <w:p>
            <w:pPr>
              <w:pStyle w:val="Small"/>
            </w:pPr>
            <w:r>
              <w:t>Milestone sequence, workstream ownership, dependency graph, and ready-to-assign packets.</w:t>
            </w:r>
          </w:p>
        </w:tc>
        <w:tc>
          <w:tcPr>
            <w:tcW w:type="dxa" w:w="2016"/>
            <w:vAlign w:val="top"/>
          </w:tcPr>
          <w:p>
            <w:pPr>
              <w:pStyle w:val="Small"/>
            </w:pPr>
            <w:r>
              <w:t>Lead coordinator agent</w:t>
            </w:r>
          </w:p>
        </w:tc>
      </w:tr>
    </w:tbl>
    <w:p/>
    <w:p>
      <w:pPr>
        <w:pStyle w:val="Heading1"/>
      </w:pPr>
      <w:r>
        <w:t>3. Recommended reading order</w:t>
      </w:r>
    </w:p>
    <w:p>
      <w:pPr>
        <w:ind w:left="0" w:hanging="230"/>
      </w:pPr>
      <w:r>
        <w:t xml:space="preserve">• </w:t>
      </w:r>
      <w:r>
        <w:t>Read the Technical Architecture Spec first for runtime model and non-negotiable architecture rules.</w:t>
      </w:r>
    </w:p>
    <w:p>
      <w:pPr>
        <w:ind w:left="0" w:hanging="230"/>
      </w:pPr>
      <w:r>
        <w:t xml:space="preserve">• </w:t>
      </w:r>
      <w:r>
        <w:t>Read the Interface Contract Spec second and do not code around undefined payload shapes.</w:t>
      </w:r>
    </w:p>
    <w:p>
      <w:pPr>
        <w:ind w:left="0" w:hanging="230"/>
      </w:pPr>
      <w:r>
        <w:t xml:space="preserve">• </w:t>
      </w:r>
      <w:r>
        <w:t>Use the Data Schema Dictionary whenever creating or mutating content files.</w:t>
      </w:r>
    </w:p>
    <w:p>
      <w:pPr>
        <w:ind w:left="0" w:hanging="230"/>
      </w:pPr>
      <w:r>
        <w:t xml:space="preserve">• </w:t>
      </w:r>
      <w:r>
        <w:t>Use the Mission &amp; Narrative Guide for authored content and consequence wiring.</w:t>
      </w:r>
    </w:p>
    <w:p>
      <w:pPr>
        <w:ind w:left="0" w:hanging="230"/>
      </w:pPr>
      <w:r>
        <w:t xml:space="preserve">• </w:t>
      </w:r>
      <w:r>
        <w:t>Use the Pipeline Guide when implementing any visual, audio, UI, or asset ingestion feature.</w:t>
      </w:r>
    </w:p>
    <w:p>
      <w:pPr>
        <w:ind w:left="0" w:hanging="230"/>
      </w:pPr>
      <w:r>
        <w:t xml:space="preserve">• </w:t>
      </w:r>
      <w:r>
        <w:t>Use the QA Strategy before opening a pull request or marking an agent packet done.</w:t>
      </w:r>
    </w:p>
    <w:p>
      <w:pPr>
        <w:ind w:left="0" w:hanging="230"/>
      </w:pPr>
      <w:r>
        <w:t xml:space="preserve">• </w:t>
      </w:r>
      <w:r>
        <w:t>Use the Production Backlog as the execution plan and dependency source of truth.</w:t>
      </w:r>
    </w:p>
    <w:p>
      <w:pPr>
        <w:pStyle w:val="Heading1"/>
      </w:pPr>
      <w:r>
        <w:t>4. Handoff operating rules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Normative precedence: </w:t>
      </w:r>
      <w:r>
        <w:t>later documents in this pack may specialize earlier architecture guidance, but may not contradict core platform constraints.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Change control: </w:t>
      </w:r>
      <w:r>
        <w:t>any contract or schema change requires simultaneous edits to this pack's relevant doc, example fixture updates, and migration notes.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Agent behavior: </w:t>
      </w:r>
      <w:r>
        <w:t>agents should complete one bounded work packet at a time, attach test evidence, and avoid speculative cross-domain refactors.</w:t>
      </w:r>
    </w:p>
    <w:p>
      <w:pPr>
        <w:pStyle w:val="Heading1"/>
      </w:pPr>
      <w:r>
        <w:t>5. Definition of a successful handoff</w:t>
      </w:r>
    </w:p>
    <w:p>
      <w:pPr>
        <w:ind w:left="0" w:hanging="230"/>
      </w:pPr>
      <w:r>
        <w:t xml:space="preserve">• </w:t>
      </w:r>
      <w:r>
        <w:t>A newly initialized implementation agent can read these materials and begin productive work without asking for missing domain assumptions.</w:t>
      </w:r>
    </w:p>
    <w:p>
      <w:pPr>
        <w:ind w:left="0" w:hanging="230"/>
      </w:pPr>
      <w:r>
        <w:t xml:space="preserve">• </w:t>
      </w:r>
      <w:r>
        <w:t>All major gameplay and content systems have named ownership, serializable state rules, and testable interfaces.</w:t>
      </w:r>
    </w:p>
    <w:p>
      <w:pPr>
        <w:ind w:left="0" w:hanging="230"/>
      </w:pPr>
      <w:r>
        <w:t xml:space="preserve">• </w:t>
      </w:r>
      <w:r>
        <w:t>The next team can stage development from bootstrap to vertical slice to production without re-deriving the game's structure.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center"/>
    </w:pPr>
    <w:r>
      <w:t>Eclipse Vector • AI Agent Handoff Pack • v1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00. Handoff Index and Reading Order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rPr>
      <w:color w:val="5F6368"/>
      <w:sz w:val="18"/>
    </w:rPr>
  </w:style>
  <w:style w:type="paragraph" w:customStyle="1" w:styleId="Codeish">
    <w:name w:val="Codeish"/>
    <w:basedOn w:val="Normal"/>
    <w:rPr>
      <w:rFonts w:ascii="Consolas" w:hAnsi="Consolas"/>
      <w:sz w:val="18"/>
    </w:rPr>
  </w:style>
  <w:style w:type="paragraph" w:customStyle="1" w:styleId="Box">
    <w:name w:val="Box"/>
    <w:basedOn w:val="Normal"/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