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00" w:type="pct"/>
        <w:jc w:val="center"/>
        <w:tblCellSpacing w:w="0" w:type="dxa"/>
        <w:tblCellMar>
          <w:left w:w="0" w:type="dxa"/>
          <w:right w:w="0" w:type="dxa"/>
        </w:tblCellMar>
        <w:tblLook w:val="04A0" w:firstRow="1" w:lastRow="0" w:firstColumn="1" w:lastColumn="0" w:noHBand="0" w:noVBand="1"/>
      </w:tblPr>
      <w:tblGrid>
        <w:gridCol w:w="7974"/>
      </w:tblGrid>
      <w:tr w:rsidR="00576185" w:rsidRPr="00576185">
        <w:trPr>
          <w:tblCellSpacing w:w="0" w:type="dxa"/>
          <w:jc w:val="center"/>
        </w:trPr>
        <w:tc>
          <w:tcPr>
            <w:tcW w:w="0" w:type="auto"/>
            <w:vAlign w:val="center"/>
            <w:hideMark/>
          </w:tcPr>
          <w:p w:rsidR="00576185" w:rsidRPr="00576185" w:rsidRDefault="00576185" w:rsidP="00576185">
            <w:pPr>
              <w:widowControl/>
              <w:spacing w:line="384" w:lineRule="auto"/>
              <w:jc w:val="left"/>
              <w:rPr>
                <w:rFonts w:ascii="Arial" w:eastAsia="宋体" w:hAnsi="Arial" w:cs="Arial"/>
                <w:color w:val="555555"/>
                <w:kern w:val="0"/>
                <w:sz w:val="30"/>
                <w:szCs w:val="30"/>
              </w:rPr>
            </w:pPr>
            <w:r w:rsidRPr="00576185">
              <w:rPr>
                <w:rFonts w:ascii="Arial" w:eastAsia="宋体" w:hAnsi="Arial" w:cs="Arial"/>
                <w:color w:val="555555"/>
                <w:kern w:val="0"/>
                <w:sz w:val="30"/>
                <w:szCs w:val="30"/>
              </w:rPr>
              <w:t> </w:t>
            </w:r>
          </w:p>
        </w:tc>
      </w:tr>
      <w:tr w:rsidR="00576185" w:rsidRPr="00576185">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7974"/>
            </w:tblGrid>
            <w:tr w:rsidR="00576185" w:rsidRPr="00576185">
              <w:trPr>
                <w:trHeight w:val="420"/>
                <w:tblCellSpacing w:w="0" w:type="dxa"/>
                <w:jc w:val="center"/>
              </w:trPr>
              <w:tc>
                <w:tcPr>
                  <w:tcW w:w="0" w:type="auto"/>
                  <w:vAlign w:val="center"/>
                  <w:hideMark/>
                </w:tcPr>
                <w:p w:rsidR="00576185" w:rsidRPr="00576185" w:rsidRDefault="00576185" w:rsidP="00576185">
                  <w:pPr>
                    <w:widowControl/>
                    <w:spacing w:line="375" w:lineRule="atLeast"/>
                    <w:jc w:val="left"/>
                    <w:rPr>
                      <w:rFonts w:ascii="Arial" w:eastAsia="宋体" w:hAnsi="Arial" w:cs="Arial"/>
                      <w:color w:val="264F87"/>
                      <w:kern w:val="0"/>
                      <w:sz w:val="30"/>
                      <w:szCs w:val="30"/>
                    </w:rPr>
                  </w:pPr>
                  <w:r w:rsidRPr="00576185">
                    <w:rPr>
                      <w:rFonts w:ascii="Arial" w:eastAsia="宋体" w:hAnsi="Arial" w:cs="Arial"/>
                      <w:color w:val="264F87"/>
                      <w:kern w:val="0"/>
                      <w:sz w:val="30"/>
                      <w:szCs w:val="30"/>
                    </w:rPr>
                    <w:t>招商银行新巴塞</w:t>
                  </w:r>
                  <w:proofErr w:type="gramStart"/>
                  <w:r w:rsidRPr="00576185">
                    <w:rPr>
                      <w:rFonts w:ascii="Arial" w:eastAsia="宋体" w:hAnsi="Arial" w:cs="Arial"/>
                      <w:color w:val="264F87"/>
                      <w:kern w:val="0"/>
                      <w:sz w:val="30"/>
                      <w:szCs w:val="30"/>
                    </w:rPr>
                    <w:t>尔资本</w:t>
                  </w:r>
                  <w:proofErr w:type="gramEnd"/>
                  <w:r w:rsidRPr="00576185">
                    <w:rPr>
                      <w:rFonts w:ascii="Arial" w:eastAsia="宋体" w:hAnsi="Arial" w:cs="Arial"/>
                      <w:color w:val="264F87"/>
                      <w:kern w:val="0"/>
                      <w:sz w:val="30"/>
                      <w:szCs w:val="30"/>
                    </w:rPr>
                    <w:t>协议操作风险管理建设</w:t>
                  </w:r>
                </w:p>
              </w:tc>
            </w:tr>
          </w:tbl>
          <w:p w:rsidR="00576185" w:rsidRPr="00576185" w:rsidRDefault="00576185" w:rsidP="00576185">
            <w:pPr>
              <w:widowControl/>
              <w:spacing w:line="384" w:lineRule="auto"/>
              <w:jc w:val="left"/>
              <w:rPr>
                <w:rFonts w:ascii="Arial" w:eastAsia="宋体" w:hAnsi="Arial" w:cs="Arial"/>
                <w:color w:val="555555"/>
                <w:kern w:val="0"/>
                <w:sz w:val="30"/>
                <w:szCs w:val="30"/>
              </w:rPr>
            </w:pPr>
          </w:p>
        </w:tc>
      </w:tr>
      <w:tr w:rsidR="00576185" w:rsidRPr="00576185">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974"/>
            </w:tblGrid>
            <w:tr w:rsidR="00576185" w:rsidRPr="00576185">
              <w:trPr>
                <w:tblCellSpacing w:w="0" w:type="dxa"/>
              </w:trPr>
              <w:tc>
                <w:tcPr>
                  <w:tcW w:w="0" w:type="auto"/>
                  <w:vAlign w:val="center"/>
                  <w:hideMark/>
                </w:tcPr>
                <w:p w:rsidR="00576185" w:rsidRPr="00576185" w:rsidRDefault="00576185" w:rsidP="00576185">
                  <w:pPr>
                    <w:widowControl/>
                    <w:spacing w:line="384" w:lineRule="auto"/>
                    <w:jc w:val="left"/>
                    <w:rPr>
                      <w:rFonts w:ascii="Arial" w:eastAsia="宋体" w:hAnsi="Arial" w:cs="Arial"/>
                      <w:color w:val="555555"/>
                      <w:kern w:val="0"/>
                      <w:sz w:val="30"/>
                      <w:szCs w:val="30"/>
                    </w:rPr>
                  </w:pPr>
                  <w:r w:rsidRPr="00576185">
                    <w:rPr>
                      <w:rFonts w:ascii="Arial" w:eastAsia="宋体" w:hAnsi="Arial" w:cs="Arial"/>
                      <w:color w:val="555555"/>
                      <w:kern w:val="0"/>
                      <w:sz w:val="30"/>
                      <w:szCs w:val="30"/>
                    </w:rPr>
                    <w:t> </w:t>
                  </w:r>
                </w:p>
              </w:tc>
            </w:tr>
          </w:tbl>
          <w:p w:rsidR="00576185" w:rsidRPr="00576185" w:rsidRDefault="00576185" w:rsidP="00576185">
            <w:pPr>
              <w:widowControl/>
              <w:spacing w:line="384" w:lineRule="auto"/>
              <w:jc w:val="left"/>
              <w:rPr>
                <w:rFonts w:ascii="Arial" w:eastAsia="宋体" w:hAnsi="Arial" w:cs="Arial"/>
                <w:color w:val="555555"/>
                <w:kern w:val="0"/>
                <w:sz w:val="30"/>
                <w:szCs w:val="30"/>
              </w:rPr>
            </w:pPr>
          </w:p>
        </w:tc>
      </w:tr>
      <w:tr w:rsidR="00576185" w:rsidRPr="00576185">
        <w:trPr>
          <w:tblCellSpacing w:w="0" w:type="dxa"/>
          <w:jc w:val="center"/>
        </w:trPr>
        <w:tc>
          <w:tcPr>
            <w:tcW w:w="0" w:type="auto"/>
            <w:vAlign w:val="center"/>
            <w:hideMark/>
          </w:tcPr>
          <w:p w:rsidR="00576185" w:rsidRPr="00576185" w:rsidRDefault="00576185" w:rsidP="00576185">
            <w:pPr>
              <w:widowControl/>
              <w:spacing w:line="384" w:lineRule="auto"/>
              <w:jc w:val="left"/>
              <w:rPr>
                <w:rFonts w:ascii="Arial" w:eastAsia="宋体" w:hAnsi="Arial" w:cs="Arial"/>
                <w:color w:val="555555"/>
                <w:kern w:val="0"/>
                <w:sz w:val="30"/>
                <w:szCs w:val="30"/>
              </w:rPr>
            </w:pPr>
            <w:r w:rsidRPr="00576185">
              <w:rPr>
                <w:rFonts w:ascii="Arial" w:eastAsia="宋体" w:hAnsi="Arial" w:cs="Arial"/>
                <w:color w:val="555555"/>
                <w:kern w:val="0"/>
                <w:sz w:val="30"/>
                <w:szCs w:val="30"/>
              </w:rPr>
              <w:t>        </w:t>
            </w:r>
            <w:r w:rsidRPr="00576185">
              <w:rPr>
                <w:rFonts w:ascii="Arial" w:eastAsia="宋体" w:hAnsi="Arial" w:cs="Arial"/>
                <w:color w:val="555555"/>
                <w:kern w:val="0"/>
                <w:sz w:val="30"/>
                <w:szCs w:val="30"/>
              </w:rPr>
              <w:t>全球性金融危机主要暴露了公开市场交易和银行业整体监管的缺失，也进一步凸现了银行自身进行全面风险管理的重要和紧迫。作为国际公认的全面风险管理框架和</w:t>
            </w:r>
            <w:proofErr w:type="gramStart"/>
            <w:r w:rsidRPr="00576185">
              <w:rPr>
                <w:rFonts w:ascii="Arial" w:eastAsia="宋体" w:hAnsi="Arial" w:cs="Arial"/>
                <w:color w:val="555555"/>
                <w:kern w:val="0"/>
                <w:sz w:val="30"/>
                <w:szCs w:val="30"/>
              </w:rPr>
              <w:t>普适</w:t>
            </w:r>
            <w:proofErr w:type="gramEnd"/>
            <w:r w:rsidRPr="00576185">
              <w:rPr>
                <w:rFonts w:ascii="Arial" w:eastAsia="宋体" w:hAnsi="Arial" w:cs="Arial"/>
                <w:color w:val="555555"/>
                <w:kern w:val="0"/>
                <w:sz w:val="30"/>
                <w:szCs w:val="30"/>
              </w:rPr>
              <w:t>标准，巴塞尔委员会《新资本协议》建立了一套完整的包含治理结构、政策、制度、流程、技术和资本计量在内的风险管理新范式，不仅代表了当今世界银行业风险管理的最佳实践，也标志着未来银行业风险管理的主流方向和趋势。银行业实施《新资本协议》，形式上是一种合</w:t>
            </w:r>
            <w:proofErr w:type="gramStart"/>
            <w:r w:rsidRPr="00576185">
              <w:rPr>
                <w:rFonts w:ascii="Arial" w:eastAsia="宋体" w:hAnsi="Arial" w:cs="Arial"/>
                <w:color w:val="555555"/>
                <w:kern w:val="0"/>
                <w:sz w:val="30"/>
                <w:szCs w:val="30"/>
              </w:rPr>
              <w:t>规</w:t>
            </w:r>
            <w:proofErr w:type="gramEnd"/>
            <w:r w:rsidRPr="00576185">
              <w:rPr>
                <w:rFonts w:ascii="Arial" w:eastAsia="宋体" w:hAnsi="Arial" w:cs="Arial"/>
                <w:color w:val="555555"/>
                <w:kern w:val="0"/>
                <w:sz w:val="30"/>
                <w:szCs w:val="30"/>
              </w:rPr>
              <w:t>要求，其实质是从过去单纯依靠资本抵御风险转变为依靠全面的风险管理体系抵御风险，是风险管理思想和体制的重大变革。中国政府亦积极响应，并于２００９年３月１３日，成为国际清算银行巴塞尔银行监管委员会的正式成员国。</w:t>
            </w:r>
            <w:r w:rsidRPr="00576185">
              <w:rPr>
                <w:rFonts w:ascii="Arial" w:eastAsia="宋体" w:hAnsi="Arial" w:cs="Arial"/>
                <w:color w:val="555555"/>
                <w:kern w:val="0"/>
                <w:sz w:val="30"/>
                <w:szCs w:val="30"/>
              </w:rPr>
              <w:br/>
              <w:t>       </w:t>
            </w:r>
            <w:r w:rsidRPr="00576185">
              <w:rPr>
                <w:rFonts w:ascii="Arial" w:eastAsia="宋体" w:hAnsi="Arial" w:cs="Arial"/>
                <w:color w:val="555555"/>
                <w:kern w:val="0"/>
                <w:sz w:val="30"/>
                <w:szCs w:val="30"/>
              </w:rPr>
              <w:t>招商银行通过近年来的出色经营，不仅成为中国股份制银行的典范和标杆，在亚太地区乃至在世界范围内也享有良好的声誉，在风险管理方面代表了中国银行业的较高水平。招商银行作为中国第一批</w:t>
            </w:r>
            <w:r w:rsidRPr="00576185">
              <w:rPr>
                <w:rFonts w:ascii="Arial" w:eastAsia="宋体" w:hAnsi="Arial" w:cs="Arial"/>
                <w:color w:val="555555"/>
                <w:kern w:val="0"/>
                <w:sz w:val="30"/>
                <w:szCs w:val="30"/>
              </w:rPr>
              <w:t>9</w:t>
            </w:r>
            <w:r w:rsidRPr="00576185">
              <w:rPr>
                <w:rFonts w:ascii="Arial" w:eastAsia="宋体" w:hAnsi="Arial" w:cs="Arial"/>
                <w:color w:val="555555"/>
                <w:kern w:val="0"/>
                <w:sz w:val="30"/>
                <w:szCs w:val="30"/>
              </w:rPr>
              <w:t>家实施新资本协议的银行，按照中国银监会的要求和为实现</w:t>
            </w:r>
            <w:r w:rsidRPr="00576185">
              <w:rPr>
                <w:rFonts w:ascii="Arial" w:eastAsia="宋体" w:hAnsi="Arial" w:cs="Arial"/>
                <w:color w:val="555555"/>
                <w:kern w:val="0"/>
                <w:sz w:val="30"/>
                <w:szCs w:val="30"/>
              </w:rPr>
              <w:t>“</w:t>
            </w:r>
            <w:r w:rsidRPr="00576185">
              <w:rPr>
                <w:rFonts w:ascii="Arial" w:eastAsia="宋体" w:hAnsi="Arial" w:cs="Arial"/>
                <w:color w:val="555555"/>
                <w:kern w:val="0"/>
                <w:sz w:val="30"/>
                <w:szCs w:val="30"/>
              </w:rPr>
              <w:t>力创股市蓝筹、打造百年招银</w:t>
            </w:r>
            <w:r w:rsidRPr="00576185">
              <w:rPr>
                <w:rFonts w:ascii="Arial" w:eastAsia="宋体" w:hAnsi="Arial" w:cs="Arial"/>
                <w:color w:val="555555"/>
                <w:kern w:val="0"/>
                <w:sz w:val="30"/>
                <w:szCs w:val="30"/>
              </w:rPr>
              <w:t>”</w:t>
            </w:r>
            <w:r w:rsidRPr="00576185">
              <w:rPr>
                <w:rFonts w:ascii="Arial" w:eastAsia="宋体" w:hAnsi="Arial" w:cs="Arial"/>
                <w:color w:val="555555"/>
                <w:kern w:val="0"/>
                <w:sz w:val="30"/>
                <w:szCs w:val="30"/>
              </w:rPr>
              <w:t>的战略目标，全面启动了《新资本协议》实施工作，并承诺在</w:t>
            </w:r>
            <w:r w:rsidRPr="00576185">
              <w:rPr>
                <w:rFonts w:ascii="Arial" w:eastAsia="宋体" w:hAnsi="Arial" w:cs="Arial"/>
                <w:color w:val="555555"/>
                <w:kern w:val="0"/>
                <w:sz w:val="30"/>
                <w:szCs w:val="30"/>
              </w:rPr>
              <w:t>2010</w:t>
            </w:r>
            <w:r w:rsidRPr="00576185">
              <w:rPr>
                <w:rFonts w:ascii="Arial" w:eastAsia="宋体" w:hAnsi="Arial" w:cs="Arial"/>
                <w:color w:val="555555"/>
                <w:kern w:val="0"/>
                <w:sz w:val="30"/>
                <w:szCs w:val="30"/>
              </w:rPr>
              <w:t>年达到新资本协议的要求。</w:t>
            </w:r>
            <w:r w:rsidRPr="00576185">
              <w:rPr>
                <w:rFonts w:ascii="Arial" w:eastAsia="宋体" w:hAnsi="Arial" w:cs="Arial"/>
                <w:color w:val="555555"/>
                <w:kern w:val="0"/>
                <w:sz w:val="30"/>
                <w:szCs w:val="30"/>
              </w:rPr>
              <w:br/>
            </w:r>
            <w:r w:rsidRPr="00576185">
              <w:rPr>
                <w:rFonts w:ascii="Arial" w:eastAsia="宋体" w:hAnsi="Arial" w:cs="Arial"/>
                <w:color w:val="555555"/>
                <w:kern w:val="0"/>
                <w:sz w:val="30"/>
                <w:szCs w:val="30"/>
              </w:rPr>
              <w:lastRenderedPageBreak/>
              <w:t>       </w:t>
            </w:r>
            <w:r w:rsidRPr="00576185">
              <w:rPr>
                <w:rFonts w:ascii="Arial" w:eastAsia="宋体" w:hAnsi="Arial" w:cs="Arial"/>
                <w:color w:val="555555"/>
                <w:kern w:val="0"/>
                <w:sz w:val="30"/>
                <w:szCs w:val="30"/>
              </w:rPr>
              <w:t>操作风险管理是招商银行实施《新资本协议》第一支柱达标的重要内容，为建立既达到国际先进银行水平又符合本行实际的操作风险管理体系，招商银行从国际众多知名咨询机构中，选择聘请了既具有丰富的国际银行风险管理咨询经验，又能够洞悉中国银行业风险管理实情的</w:t>
            </w:r>
            <w:proofErr w:type="gramStart"/>
            <w:r w:rsidRPr="00576185">
              <w:rPr>
                <w:rFonts w:ascii="Arial" w:eastAsia="宋体" w:hAnsi="Arial" w:cs="Arial"/>
                <w:color w:val="555555"/>
                <w:kern w:val="0"/>
                <w:sz w:val="30"/>
                <w:szCs w:val="30"/>
              </w:rPr>
              <w:t>正信嘉</w:t>
            </w:r>
            <w:proofErr w:type="gramEnd"/>
            <w:r w:rsidRPr="00576185">
              <w:rPr>
                <w:rFonts w:ascii="Arial" w:eastAsia="宋体" w:hAnsi="Arial" w:cs="Arial"/>
                <w:color w:val="555555"/>
                <w:kern w:val="0"/>
                <w:sz w:val="30"/>
                <w:szCs w:val="30"/>
              </w:rPr>
              <w:t>华公司担纲咨询指导。</w:t>
            </w:r>
            <w:r w:rsidRPr="00576185">
              <w:rPr>
                <w:rFonts w:ascii="Arial" w:eastAsia="宋体" w:hAnsi="Arial" w:cs="Arial"/>
                <w:color w:val="555555"/>
                <w:kern w:val="0"/>
                <w:sz w:val="30"/>
                <w:szCs w:val="30"/>
              </w:rPr>
              <w:br/>
              <w:t>       </w:t>
            </w:r>
            <w:proofErr w:type="gramStart"/>
            <w:r w:rsidRPr="00576185">
              <w:rPr>
                <w:rFonts w:ascii="Arial" w:eastAsia="宋体" w:hAnsi="Arial" w:cs="Arial"/>
                <w:color w:val="555555"/>
                <w:kern w:val="0"/>
                <w:sz w:val="30"/>
                <w:szCs w:val="30"/>
              </w:rPr>
              <w:t>正信嘉华按照</w:t>
            </w:r>
            <w:proofErr w:type="gramEnd"/>
            <w:r w:rsidRPr="00576185">
              <w:rPr>
                <w:rFonts w:ascii="Arial" w:eastAsia="宋体" w:hAnsi="Arial" w:cs="Arial"/>
                <w:color w:val="555555"/>
                <w:kern w:val="0"/>
                <w:sz w:val="30"/>
                <w:szCs w:val="30"/>
              </w:rPr>
              <w:t>巴塞尔委员会《新资本协议》、《操作风险管理和监管稳健原则》，以及中国银监会《商业银行操作风险管理指引》等监管要求，结合国际先进银行操作风险管理的实践和招商银行实际，帮助招商银行建立操作风险偏好、治理架构和政策程序，导入操作风险与控制自我评估（</w:t>
            </w:r>
            <w:r w:rsidRPr="00576185">
              <w:rPr>
                <w:rFonts w:ascii="Arial" w:eastAsia="宋体" w:hAnsi="Arial" w:cs="Arial"/>
                <w:color w:val="555555"/>
                <w:kern w:val="0"/>
                <w:sz w:val="30"/>
                <w:szCs w:val="30"/>
              </w:rPr>
              <w:t>RCSA</w:t>
            </w:r>
            <w:r w:rsidRPr="00576185">
              <w:rPr>
                <w:rFonts w:ascii="Arial" w:eastAsia="宋体" w:hAnsi="Arial" w:cs="Arial"/>
                <w:color w:val="555555"/>
                <w:kern w:val="0"/>
                <w:sz w:val="30"/>
                <w:szCs w:val="30"/>
              </w:rPr>
              <w:t>）、关键风险指标（</w:t>
            </w:r>
            <w:r w:rsidRPr="00576185">
              <w:rPr>
                <w:rFonts w:ascii="Arial" w:eastAsia="宋体" w:hAnsi="Arial" w:cs="Arial"/>
                <w:color w:val="555555"/>
                <w:kern w:val="0"/>
                <w:sz w:val="30"/>
                <w:szCs w:val="30"/>
              </w:rPr>
              <w:t>KRI</w:t>
            </w:r>
            <w:r w:rsidRPr="00576185">
              <w:rPr>
                <w:rFonts w:ascii="Arial" w:eastAsia="宋体" w:hAnsi="Arial" w:cs="Arial"/>
                <w:color w:val="555555"/>
                <w:kern w:val="0"/>
                <w:sz w:val="30"/>
                <w:szCs w:val="30"/>
              </w:rPr>
              <w:t>）、损失数据库收集（</w:t>
            </w:r>
            <w:r w:rsidRPr="00576185">
              <w:rPr>
                <w:rFonts w:ascii="Arial" w:eastAsia="宋体" w:hAnsi="Arial" w:cs="Arial"/>
                <w:color w:val="555555"/>
                <w:kern w:val="0"/>
                <w:sz w:val="30"/>
                <w:szCs w:val="30"/>
              </w:rPr>
              <w:t>LDC</w:t>
            </w:r>
            <w:r w:rsidRPr="00576185">
              <w:rPr>
                <w:rFonts w:ascii="Arial" w:eastAsia="宋体" w:hAnsi="Arial" w:cs="Arial"/>
                <w:color w:val="555555"/>
                <w:kern w:val="0"/>
                <w:sz w:val="30"/>
                <w:szCs w:val="30"/>
              </w:rPr>
              <w:t>）三大工具，建立业务持续性计划（</w:t>
            </w:r>
            <w:r w:rsidRPr="00576185">
              <w:rPr>
                <w:rFonts w:ascii="Arial" w:eastAsia="宋体" w:hAnsi="Arial" w:cs="Arial"/>
                <w:color w:val="555555"/>
                <w:kern w:val="0"/>
                <w:sz w:val="30"/>
                <w:szCs w:val="30"/>
              </w:rPr>
              <w:t>BCP</w:t>
            </w:r>
            <w:r w:rsidRPr="00576185">
              <w:rPr>
                <w:rFonts w:ascii="Arial" w:eastAsia="宋体" w:hAnsi="Arial" w:cs="Arial"/>
                <w:color w:val="555555"/>
                <w:kern w:val="0"/>
                <w:sz w:val="30"/>
                <w:szCs w:val="30"/>
              </w:rPr>
              <w:t>），开发操作风险管理</w:t>
            </w:r>
            <w:r w:rsidRPr="00576185">
              <w:rPr>
                <w:rFonts w:ascii="Arial" w:eastAsia="宋体" w:hAnsi="Arial" w:cs="Arial"/>
                <w:color w:val="555555"/>
                <w:kern w:val="0"/>
                <w:sz w:val="30"/>
                <w:szCs w:val="30"/>
              </w:rPr>
              <w:t>IT</w:t>
            </w:r>
            <w:r w:rsidRPr="00576185">
              <w:rPr>
                <w:rFonts w:ascii="Arial" w:eastAsia="宋体" w:hAnsi="Arial" w:cs="Arial"/>
                <w:color w:val="555555"/>
                <w:kern w:val="0"/>
                <w:sz w:val="30"/>
                <w:szCs w:val="30"/>
              </w:rPr>
              <w:t>系统，协助开展操作风险资本计量，建立覆盖全行各条线、各分行的操作风险管理体系，确保在</w:t>
            </w:r>
            <w:r w:rsidRPr="00576185">
              <w:rPr>
                <w:rFonts w:ascii="Arial" w:eastAsia="宋体" w:hAnsi="Arial" w:cs="Arial"/>
                <w:color w:val="555555"/>
                <w:kern w:val="0"/>
                <w:sz w:val="30"/>
                <w:szCs w:val="30"/>
              </w:rPr>
              <w:t>2010</w:t>
            </w:r>
            <w:r w:rsidRPr="00576185">
              <w:rPr>
                <w:rFonts w:ascii="Arial" w:eastAsia="宋体" w:hAnsi="Arial" w:cs="Arial"/>
                <w:color w:val="555555"/>
                <w:kern w:val="0"/>
                <w:sz w:val="30"/>
                <w:szCs w:val="30"/>
              </w:rPr>
              <w:t>年达到操作风险管理标准法（</w:t>
            </w:r>
            <w:r w:rsidRPr="00576185">
              <w:rPr>
                <w:rFonts w:ascii="Arial" w:eastAsia="宋体" w:hAnsi="Arial" w:cs="Arial"/>
                <w:color w:val="555555"/>
                <w:kern w:val="0"/>
                <w:sz w:val="30"/>
                <w:szCs w:val="30"/>
              </w:rPr>
              <w:t>TSA</w:t>
            </w:r>
            <w:r w:rsidRPr="00576185">
              <w:rPr>
                <w:rFonts w:ascii="Arial" w:eastAsia="宋体" w:hAnsi="Arial" w:cs="Arial"/>
                <w:color w:val="555555"/>
                <w:kern w:val="0"/>
                <w:sz w:val="30"/>
                <w:szCs w:val="30"/>
              </w:rPr>
              <w:t>）。</w:t>
            </w:r>
            <w:r w:rsidRPr="00576185">
              <w:rPr>
                <w:rFonts w:ascii="Arial" w:eastAsia="宋体" w:hAnsi="Arial" w:cs="Arial"/>
                <w:color w:val="555555"/>
                <w:kern w:val="0"/>
                <w:sz w:val="30"/>
                <w:szCs w:val="30"/>
              </w:rPr>
              <w:br/>
              <w:t>       </w:t>
            </w:r>
            <w:r w:rsidRPr="00576185">
              <w:rPr>
                <w:rFonts w:ascii="Arial" w:eastAsia="宋体" w:hAnsi="Arial" w:cs="Arial"/>
                <w:color w:val="555555"/>
                <w:kern w:val="0"/>
                <w:sz w:val="30"/>
                <w:szCs w:val="30"/>
              </w:rPr>
              <w:t>此项目的实施，将使招商银行操作风险管理体系、业务流程、</w:t>
            </w:r>
            <w:r w:rsidRPr="00576185">
              <w:rPr>
                <w:rFonts w:ascii="Arial" w:eastAsia="宋体" w:hAnsi="Arial" w:cs="Arial"/>
                <w:color w:val="555555"/>
                <w:kern w:val="0"/>
                <w:sz w:val="30"/>
                <w:szCs w:val="30"/>
              </w:rPr>
              <w:t>IT</w:t>
            </w:r>
            <w:r w:rsidRPr="00576185">
              <w:rPr>
                <w:rFonts w:ascii="Arial" w:eastAsia="宋体" w:hAnsi="Arial" w:cs="Arial"/>
                <w:color w:val="555555"/>
                <w:kern w:val="0"/>
                <w:sz w:val="30"/>
                <w:szCs w:val="30"/>
              </w:rPr>
              <w:t>系统及风险管理文化真正整合在一起，促使其降低操作风险敞口，促进业务稳健开展和发展战略的实现，为招商银行股东和其他利益相关</w:t>
            </w:r>
            <w:proofErr w:type="gramStart"/>
            <w:r w:rsidRPr="00576185">
              <w:rPr>
                <w:rFonts w:ascii="Arial" w:eastAsia="宋体" w:hAnsi="Arial" w:cs="Arial"/>
                <w:color w:val="555555"/>
                <w:kern w:val="0"/>
                <w:sz w:val="30"/>
                <w:szCs w:val="30"/>
              </w:rPr>
              <w:t>方带来</w:t>
            </w:r>
            <w:proofErr w:type="gramEnd"/>
            <w:r w:rsidRPr="00576185">
              <w:rPr>
                <w:rFonts w:ascii="Arial" w:eastAsia="宋体" w:hAnsi="Arial" w:cs="Arial"/>
                <w:color w:val="555555"/>
                <w:kern w:val="0"/>
                <w:sz w:val="30"/>
                <w:szCs w:val="30"/>
              </w:rPr>
              <w:t>最优回报。</w:t>
            </w:r>
            <w:r w:rsidRPr="00576185">
              <w:rPr>
                <w:rFonts w:ascii="Arial" w:eastAsia="宋体" w:hAnsi="Arial" w:cs="Arial"/>
                <w:color w:val="555555"/>
                <w:kern w:val="0"/>
                <w:sz w:val="30"/>
                <w:szCs w:val="30"/>
              </w:rPr>
              <w:br/>
              <w:t>       </w:t>
            </w:r>
            <w:r w:rsidRPr="00576185">
              <w:rPr>
                <w:rFonts w:ascii="Arial" w:eastAsia="宋体" w:hAnsi="Arial" w:cs="Arial"/>
                <w:color w:val="555555"/>
                <w:kern w:val="0"/>
                <w:sz w:val="30"/>
                <w:szCs w:val="30"/>
              </w:rPr>
              <w:t>招商银行巴塞尔新资本协议操作风险管理项目的成功实施，将使招商银行操作风险管理在中国银行业处于领先水平。</w:t>
            </w:r>
            <w:proofErr w:type="gramStart"/>
            <w:r w:rsidRPr="00576185">
              <w:rPr>
                <w:rFonts w:ascii="Arial" w:eastAsia="宋体" w:hAnsi="Arial" w:cs="Arial"/>
                <w:color w:val="555555"/>
                <w:kern w:val="0"/>
                <w:sz w:val="30"/>
                <w:szCs w:val="30"/>
              </w:rPr>
              <w:lastRenderedPageBreak/>
              <w:t>正信嘉</w:t>
            </w:r>
            <w:proofErr w:type="gramEnd"/>
            <w:r w:rsidRPr="00576185">
              <w:rPr>
                <w:rFonts w:ascii="Arial" w:eastAsia="宋体" w:hAnsi="Arial" w:cs="Arial"/>
                <w:color w:val="555555"/>
                <w:kern w:val="0"/>
                <w:sz w:val="30"/>
                <w:szCs w:val="30"/>
              </w:rPr>
              <w:t>华通过此项目将在</w:t>
            </w:r>
            <w:proofErr w:type="gramStart"/>
            <w:r w:rsidRPr="00576185">
              <w:rPr>
                <w:rFonts w:ascii="Arial" w:eastAsia="宋体" w:hAnsi="Arial" w:cs="Arial"/>
                <w:color w:val="555555"/>
                <w:kern w:val="0"/>
                <w:sz w:val="30"/>
                <w:szCs w:val="30"/>
              </w:rPr>
              <w:t>中国银行业巴塞</w:t>
            </w:r>
            <w:proofErr w:type="gramEnd"/>
            <w:r w:rsidRPr="00576185">
              <w:rPr>
                <w:rFonts w:ascii="Arial" w:eastAsia="宋体" w:hAnsi="Arial" w:cs="Arial"/>
                <w:color w:val="555555"/>
                <w:kern w:val="0"/>
                <w:sz w:val="30"/>
                <w:szCs w:val="30"/>
              </w:rPr>
              <w:t>尔新资本协议实施咨询领域继续保持领先优势。</w:t>
            </w:r>
          </w:p>
        </w:tc>
      </w:tr>
    </w:tbl>
    <w:p w:rsidR="00576185" w:rsidRPr="00576185" w:rsidRDefault="00576185" w:rsidP="00576185">
      <w:pPr>
        <w:rPr>
          <w:sz w:val="30"/>
          <w:szCs w:val="30"/>
        </w:rPr>
      </w:pPr>
      <w:r w:rsidRPr="00576185">
        <w:rPr>
          <w:sz w:val="30"/>
          <w:szCs w:val="30"/>
        </w:rPr>
        <w:lastRenderedPageBreak/>
        <w:t xml:space="preserve">  </w:t>
      </w:r>
    </w:p>
    <w:p w:rsidR="00576185" w:rsidRPr="00576185" w:rsidRDefault="00576185" w:rsidP="00576185">
      <w:pPr>
        <w:rPr>
          <w:rFonts w:hint="eastAsia"/>
          <w:sz w:val="30"/>
          <w:szCs w:val="30"/>
        </w:rPr>
      </w:pPr>
      <w:r w:rsidRPr="00576185">
        <w:rPr>
          <w:rFonts w:hint="eastAsia"/>
          <w:sz w:val="30"/>
          <w:szCs w:val="30"/>
        </w:rPr>
        <w:t>中国投资有限责任公司全面内部控制体系建设</w:t>
      </w:r>
      <w:r w:rsidRPr="00576185">
        <w:rPr>
          <w:rFonts w:hint="eastAsia"/>
          <w:sz w:val="30"/>
          <w:szCs w:val="30"/>
        </w:rPr>
        <w:t xml:space="preserve"> </w:t>
      </w:r>
    </w:p>
    <w:p w:rsidR="00576185" w:rsidRPr="00576185" w:rsidRDefault="00576185" w:rsidP="00576185">
      <w:pPr>
        <w:rPr>
          <w:sz w:val="30"/>
          <w:szCs w:val="30"/>
        </w:rPr>
      </w:pPr>
      <w:r w:rsidRPr="00576185">
        <w:rPr>
          <w:sz w:val="30"/>
          <w:szCs w:val="30"/>
        </w:rPr>
        <w:t xml:space="preserve"> </w:t>
      </w:r>
    </w:p>
    <w:p w:rsidR="00576185" w:rsidRPr="00576185" w:rsidRDefault="00576185" w:rsidP="00576185">
      <w:pPr>
        <w:rPr>
          <w:sz w:val="30"/>
          <w:szCs w:val="30"/>
        </w:rPr>
      </w:pPr>
      <w:r w:rsidRPr="00576185">
        <w:rPr>
          <w:sz w:val="30"/>
          <w:szCs w:val="30"/>
        </w:rPr>
        <w:t xml:space="preserve">  </w:t>
      </w:r>
    </w:p>
    <w:p w:rsidR="00576185" w:rsidRPr="00576185" w:rsidRDefault="00576185" w:rsidP="00576185">
      <w:pPr>
        <w:rPr>
          <w:sz w:val="30"/>
          <w:szCs w:val="30"/>
        </w:rPr>
      </w:pPr>
      <w:r w:rsidRPr="00576185">
        <w:rPr>
          <w:sz w:val="30"/>
          <w:szCs w:val="30"/>
        </w:rPr>
        <w:t xml:space="preserve"> </w:t>
      </w:r>
    </w:p>
    <w:p w:rsidR="00576185" w:rsidRPr="00576185" w:rsidRDefault="00576185" w:rsidP="00576185">
      <w:pPr>
        <w:rPr>
          <w:rFonts w:hint="eastAsia"/>
          <w:sz w:val="30"/>
          <w:szCs w:val="30"/>
        </w:rPr>
      </w:pPr>
      <w:r w:rsidRPr="00576185">
        <w:rPr>
          <w:rFonts w:hint="eastAsia"/>
          <w:sz w:val="30"/>
          <w:szCs w:val="30"/>
        </w:rPr>
        <w:t xml:space="preserve">        </w:t>
      </w:r>
      <w:r w:rsidRPr="00576185">
        <w:rPr>
          <w:rFonts w:hint="eastAsia"/>
          <w:sz w:val="30"/>
          <w:szCs w:val="30"/>
        </w:rPr>
        <w:t>经中国国务院批准，中国投资有限责任公司于</w:t>
      </w:r>
      <w:r w:rsidRPr="00576185">
        <w:rPr>
          <w:rFonts w:hint="eastAsia"/>
          <w:sz w:val="30"/>
          <w:szCs w:val="30"/>
        </w:rPr>
        <w:t>2007</w:t>
      </w:r>
      <w:r w:rsidRPr="00576185">
        <w:rPr>
          <w:rFonts w:hint="eastAsia"/>
          <w:sz w:val="30"/>
          <w:szCs w:val="30"/>
        </w:rPr>
        <w:t>年</w:t>
      </w:r>
      <w:r w:rsidRPr="00576185">
        <w:rPr>
          <w:rFonts w:hint="eastAsia"/>
          <w:sz w:val="30"/>
          <w:szCs w:val="30"/>
        </w:rPr>
        <w:t>9</w:t>
      </w:r>
      <w:r w:rsidRPr="00576185">
        <w:rPr>
          <w:rFonts w:hint="eastAsia"/>
          <w:sz w:val="30"/>
          <w:szCs w:val="30"/>
        </w:rPr>
        <w:t>月</w:t>
      </w:r>
      <w:r w:rsidRPr="00576185">
        <w:rPr>
          <w:rFonts w:hint="eastAsia"/>
          <w:sz w:val="30"/>
          <w:szCs w:val="30"/>
        </w:rPr>
        <w:t>29</w:t>
      </w:r>
      <w:r w:rsidRPr="00576185">
        <w:rPr>
          <w:rFonts w:hint="eastAsia"/>
          <w:sz w:val="30"/>
          <w:szCs w:val="30"/>
        </w:rPr>
        <w:t>日成立，注册资本</w:t>
      </w:r>
      <w:r w:rsidRPr="00576185">
        <w:rPr>
          <w:rFonts w:hint="eastAsia"/>
          <w:sz w:val="30"/>
          <w:szCs w:val="30"/>
        </w:rPr>
        <w:t>2000</w:t>
      </w:r>
      <w:r w:rsidRPr="00576185">
        <w:rPr>
          <w:rFonts w:hint="eastAsia"/>
          <w:sz w:val="30"/>
          <w:szCs w:val="30"/>
        </w:rPr>
        <w:t>亿美元，中央汇金投资有限公司作为其全资子公司同时并入中投。代表着中国国家信誉的中投公司将采取市场化运作的方式，通过外汇资金投资管理，实现国家资本保值增值。中投公司目前是全球最大的国家主权财富基金。</w:t>
      </w:r>
    </w:p>
    <w:p w:rsidR="00576185" w:rsidRPr="00576185" w:rsidRDefault="00576185" w:rsidP="00576185">
      <w:pPr>
        <w:rPr>
          <w:rFonts w:hint="eastAsia"/>
          <w:sz w:val="30"/>
          <w:szCs w:val="30"/>
        </w:rPr>
      </w:pPr>
      <w:r w:rsidRPr="00576185">
        <w:rPr>
          <w:rFonts w:hint="eastAsia"/>
          <w:sz w:val="30"/>
          <w:szCs w:val="30"/>
        </w:rPr>
        <w:t xml:space="preserve">        2008</w:t>
      </w:r>
      <w:r w:rsidRPr="00576185">
        <w:rPr>
          <w:rFonts w:hint="eastAsia"/>
          <w:sz w:val="30"/>
          <w:szCs w:val="30"/>
        </w:rPr>
        <w:t>年初，</w:t>
      </w:r>
      <w:r w:rsidRPr="00576185">
        <w:rPr>
          <w:rFonts w:hint="eastAsia"/>
          <w:sz w:val="30"/>
          <w:szCs w:val="30"/>
        </w:rPr>
        <w:t xml:space="preserve"> </w:t>
      </w:r>
      <w:r w:rsidRPr="00576185">
        <w:rPr>
          <w:rFonts w:hint="eastAsia"/>
          <w:sz w:val="30"/>
          <w:szCs w:val="30"/>
        </w:rPr>
        <w:t>根据业务发展需要，为建立和健全公司内部控制，防范操作风险，确保安全稳健运行，中投公司执行委员会</w:t>
      </w:r>
      <w:proofErr w:type="gramStart"/>
      <w:r w:rsidRPr="00576185">
        <w:rPr>
          <w:rFonts w:hint="eastAsia"/>
          <w:sz w:val="30"/>
          <w:szCs w:val="30"/>
        </w:rPr>
        <w:t>作出</w:t>
      </w:r>
      <w:proofErr w:type="gramEnd"/>
      <w:r w:rsidRPr="00576185">
        <w:rPr>
          <w:rFonts w:hint="eastAsia"/>
          <w:sz w:val="30"/>
          <w:szCs w:val="30"/>
        </w:rPr>
        <w:t>了进行内部控制体系建设的重大决定，并决定聘请</w:t>
      </w:r>
      <w:proofErr w:type="gramStart"/>
      <w:r w:rsidRPr="00576185">
        <w:rPr>
          <w:rFonts w:hint="eastAsia"/>
          <w:sz w:val="30"/>
          <w:szCs w:val="30"/>
        </w:rPr>
        <w:t>正信嘉</w:t>
      </w:r>
      <w:proofErr w:type="gramEnd"/>
      <w:r w:rsidRPr="00576185">
        <w:rPr>
          <w:rFonts w:hint="eastAsia"/>
          <w:sz w:val="30"/>
          <w:szCs w:val="30"/>
        </w:rPr>
        <w:t>华公司提供咨询。</w:t>
      </w:r>
    </w:p>
    <w:p w:rsidR="00576185" w:rsidRPr="00576185" w:rsidRDefault="00576185" w:rsidP="00576185">
      <w:pPr>
        <w:rPr>
          <w:rFonts w:hint="eastAsia"/>
          <w:sz w:val="30"/>
          <w:szCs w:val="30"/>
        </w:rPr>
      </w:pPr>
      <w:r w:rsidRPr="00576185">
        <w:rPr>
          <w:rFonts w:hint="eastAsia"/>
          <w:sz w:val="30"/>
          <w:szCs w:val="30"/>
        </w:rPr>
        <w:t xml:space="preserve">       </w:t>
      </w:r>
      <w:r w:rsidRPr="00576185">
        <w:rPr>
          <w:rFonts w:hint="eastAsia"/>
          <w:sz w:val="30"/>
          <w:szCs w:val="30"/>
        </w:rPr>
        <w:t>中投公司内控建设分为三个阶段。第一阶段，按照楼继伟董事长提出的：“突出重点，急用先行”的原则</w:t>
      </w:r>
      <w:r w:rsidRPr="00576185">
        <w:rPr>
          <w:rFonts w:hint="eastAsia"/>
          <w:sz w:val="30"/>
          <w:szCs w:val="30"/>
        </w:rPr>
        <w:t xml:space="preserve"> </w:t>
      </w:r>
      <w:r w:rsidRPr="00576185">
        <w:rPr>
          <w:rFonts w:hint="eastAsia"/>
          <w:sz w:val="30"/>
          <w:szCs w:val="30"/>
        </w:rPr>
        <w:t>，</w:t>
      </w:r>
      <w:proofErr w:type="gramStart"/>
      <w:r w:rsidRPr="00576185">
        <w:rPr>
          <w:rFonts w:hint="eastAsia"/>
          <w:sz w:val="30"/>
          <w:szCs w:val="30"/>
        </w:rPr>
        <w:t>正信嘉</w:t>
      </w:r>
      <w:proofErr w:type="gramEnd"/>
      <w:r w:rsidRPr="00576185">
        <w:rPr>
          <w:rFonts w:hint="eastAsia"/>
          <w:sz w:val="30"/>
          <w:szCs w:val="30"/>
        </w:rPr>
        <w:t>华梳理了中投公司股权投资、固定收益投资、另类资产投资三大类业务和主要业务模式的基本流程，制定了《中投公司投资业务基本流程控制暂行规定》，同时对中投公司境内</w:t>
      </w:r>
      <w:proofErr w:type="gramStart"/>
      <w:r w:rsidRPr="00576185">
        <w:rPr>
          <w:rFonts w:hint="eastAsia"/>
          <w:sz w:val="30"/>
          <w:szCs w:val="30"/>
        </w:rPr>
        <w:t>外特殊</w:t>
      </w:r>
      <w:proofErr w:type="gramEnd"/>
      <w:r w:rsidRPr="00576185">
        <w:rPr>
          <w:rFonts w:hint="eastAsia"/>
          <w:sz w:val="30"/>
          <w:szCs w:val="30"/>
        </w:rPr>
        <w:t>项目决策程序进行了规定。</w:t>
      </w:r>
    </w:p>
    <w:p w:rsidR="00576185" w:rsidRPr="00576185" w:rsidRDefault="00576185" w:rsidP="00576185">
      <w:pPr>
        <w:rPr>
          <w:rFonts w:hint="eastAsia"/>
          <w:sz w:val="30"/>
          <w:szCs w:val="30"/>
        </w:rPr>
      </w:pPr>
      <w:r w:rsidRPr="00576185">
        <w:rPr>
          <w:rFonts w:hint="eastAsia"/>
          <w:sz w:val="30"/>
          <w:szCs w:val="30"/>
        </w:rPr>
        <w:lastRenderedPageBreak/>
        <w:t xml:space="preserve">       </w:t>
      </w:r>
      <w:r w:rsidRPr="00576185">
        <w:rPr>
          <w:rFonts w:hint="eastAsia"/>
          <w:sz w:val="30"/>
          <w:szCs w:val="30"/>
        </w:rPr>
        <w:t>第二阶段，选择了股权投资部进行内控建设试点，对股权委托投资、集中持股投资、</w:t>
      </w:r>
      <w:r w:rsidRPr="00576185">
        <w:rPr>
          <w:rFonts w:hint="eastAsia"/>
          <w:sz w:val="30"/>
          <w:szCs w:val="30"/>
        </w:rPr>
        <w:t>IPO</w:t>
      </w:r>
      <w:r w:rsidRPr="00576185">
        <w:rPr>
          <w:rFonts w:hint="eastAsia"/>
          <w:sz w:val="30"/>
          <w:szCs w:val="30"/>
        </w:rPr>
        <w:t>投资和公开市场投资进行了详细的梳理，制定了相关股权投资业务内控制度文件。中投公司执行委员会对试点成果进行了严谨、细致的评估和评价，认为内控体系文件“表述准确、结构清晰、务实有效”，并决定在中投公司其他</w:t>
      </w:r>
      <w:r w:rsidRPr="00576185">
        <w:rPr>
          <w:rFonts w:hint="eastAsia"/>
          <w:sz w:val="30"/>
          <w:szCs w:val="30"/>
        </w:rPr>
        <w:t>12</w:t>
      </w:r>
      <w:r w:rsidRPr="00576185">
        <w:rPr>
          <w:rFonts w:hint="eastAsia"/>
          <w:sz w:val="30"/>
          <w:szCs w:val="30"/>
        </w:rPr>
        <w:t>个部门和汇金公司的</w:t>
      </w:r>
      <w:r w:rsidRPr="00576185">
        <w:rPr>
          <w:rFonts w:hint="eastAsia"/>
          <w:sz w:val="30"/>
          <w:szCs w:val="30"/>
        </w:rPr>
        <w:t>3</w:t>
      </w:r>
      <w:r w:rsidRPr="00576185">
        <w:rPr>
          <w:rFonts w:hint="eastAsia"/>
          <w:sz w:val="30"/>
          <w:szCs w:val="30"/>
        </w:rPr>
        <w:t>个部门进行全面实施。</w:t>
      </w:r>
    </w:p>
    <w:p w:rsidR="00576185" w:rsidRPr="00576185" w:rsidRDefault="00576185" w:rsidP="00576185">
      <w:pPr>
        <w:rPr>
          <w:rFonts w:hint="eastAsia"/>
          <w:sz w:val="30"/>
          <w:szCs w:val="30"/>
        </w:rPr>
      </w:pPr>
      <w:r w:rsidRPr="00576185">
        <w:rPr>
          <w:rFonts w:hint="eastAsia"/>
          <w:sz w:val="30"/>
          <w:szCs w:val="30"/>
        </w:rPr>
        <w:t xml:space="preserve">       </w:t>
      </w:r>
      <w:r w:rsidRPr="00576185">
        <w:rPr>
          <w:rFonts w:hint="eastAsia"/>
          <w:sz w:val="30"/>
          <w:szCs w:val="30"/>
        </w:rPr>
        <w:t>第三阶段为全面内控建设。</w:t>
      </w:r>
      <w:proofErr w:type="gramStart"/>
      <w:r w:rsidRPr="00576185">
        <w:rPr>
          <w:rFonts w:hint="eastAsia"/>
          <w:sz w:val="30"/>
          <w:szCs w:val="30"/>
        </w:rPr>
        <w:t>正信嘉</w:t>
      </w:r>
      <w:proofErr w:type="gramEnd"/>
      <w:r w:rsidRPr="00576185">
        <w:rPr>
          <w:rFonts w:hint="eastAsia"/>
          <w:sz w:val="30"/>
          <w:szCs w:val="30"/>
        </w:rPr>
        <w:t>华借鉴国际同类金融机构运营模式，针对中投公司的发展战略、业务类别、风险偏好和内控要求，帮助其从公司整体层面、业务层面和信息安全等方面展开内控建设。制定了《中国投资有限责任公司内控体系框架》，涵盖了所有业务、机构和人员。</w:t>
      </w:r>
    </w:p>
    <w:p w:rsidR="00576185" w:rsidRPr="00576185" w:rsidRDefault="00576185" w:rsidP="00576185">
      <w:pPr>
        <w:rPr>
          <w:rFonts w:hint="eastAsia"/>
          <w:sz w:val="30"/>
          <w:szCs w:val="30"/>
        </w:rPr>
      </w:pPr>
      <w:r w:rsidRPr="00576185">
        <w:rPr>
          <w:rFonts w:hint="eastAsia"/>
          <w:sz w:val="30"/>
          <w:szCs w:val="30"/>
        </w:rPr>
        <w:t xml:space="preserve">       </w:t>
      </w:r>
      <w:r w:rsidRPr="00576185">
        <w:rPr>
          <w:rFonts w:hint="eastAsia"/>
          <w:sz w:val="30"/>
          <w:szCs w:val="30"/>
        </w:rPr>
        <w:t>通过内控建设，中投公司构建了“职责清晰、流程优化、控制有效、持续改进”的内控体系，形成事前预防、事中控制、事后监督纠正的动态过程和机制，为实现前中后台业务和管理的分离，以及内控管理</w:t>
      </w:r>
      <w:r w:rsidRPr="00576185">
        <w:rPr>
          <w:rFonts w:hint="eastAsia"/>
          <w:sz w:val="30"/>
          <w:szCs w:val="30"/>
        </w:rPr>
        <w:t>IT</w:t>
      </w:r>
      <w:r w:rsidRPr="00576185">
        <w:rPr>
          <w:rFonts w:hint="eastAsia"/>
          <w:sz w:val="30"/>
          <w:szCs w:val="30"/>
        </w:rPr>
        <w:t>系统的建设奠定了基础。</w:t>
      </w:r>
    </w:p>
    <w:p w:rsidR="00576185" w:rsidRPr="00576185" w:rsidRDefault="00576185" w:rsidP="00576185">
      <w:pPr>
        <w:rPr>
          <w:rFonts w:hint="eastAsia"/>
          <w:sz w:val="30"/>
          <w:szCs w:val="30"/>
        </w:rPr>
      </w:pPr>
      <w:r w:rsidRPr="00576185">
        <w:rPr>
          <w:rFonts w:hint="eastAsia"/>
          <w:sz w:val="30"/>
          <w:szCs w:val="30"/>
        </w:rPr>
        <w:t xml:space="preserve">       2008</w:t>
      </w:r>
      <w:r w:rsidRPr="00576185">
        <w:rPr>
          <w:rFonts w:hint="eastAsia"/>
          <w:sz w:val="30"/>
          <w:szCs w:val="30"/>
        </w:rPr>
        <w:t>年</w:t>
      </w:r>
      <w:r w:rsidRPr="00576185">
        <w:rPr>
          <w:rFonts w:hint="eastAsia"/>
          <w:sz w:val="30"/>
          <w:szCs w:val="30"/>
        </w:rPr>
        <w:t>6</w:t>
      </w:r>
      <w:r w:rsidRPr="00576185">
        <w:rPr>
          <w:rFonts w:hint="eastAsia"/>
          <w:sz w:val="30"/>
          <w:szCs w:val="30"/>
        </w:rPr>
        <w:t>月，中投公司就内控建设工作情况上报中国国务院温家宝总理，王岐山副总理。后国务院办公厅将此件分送中共中央政治局各常委。</w:t>
      </w:r>
    </w:p>
    <w:p w:rsidR="00576185" w:rsidRPr="00576185" w:rsidRDefault="00576185" w:rsidP="00576185">
      <w:pPr>
        <w:rPr>
          <w:rFonts w:hint="eastAsia"/>
          <w:sz w:val="30"/>
          <w:szCs w:val="30"/>
        </w:rPr>
      </w:pPr>
      <w:r w:rsidRPr="00576185">
        <w:rPr>
          <w:rFonts w:hint="eastAsia"/>
          <w:sz w:val="30"/>
          <w:szCs w:val="30"/>
        </w:rPr>
        <w:t xml:space="preserve">       </w:t>
      </w:r>
      <w:r w:rsidRPr="00576185">
        <w:rPr>
          <w:rFonts w:hint="eastAsia"/>
          <w:sz w:val="30"/>
          <w:szCs w:val="30"/>
        </w:rPr>
        <w:t>内控建设项目完成后，</w:t>
      </w:r>
      <w:r w:rsidRPr="00576185">
        <w:rPr>
          <w:rFonts w:hint="eastAsia"/>
          <w:sz w:val="30"/>
          <w:szCs w:val="30"/>
        </w:rPr>
        <w:t>2008</w:t>
      </w:r>
      <w:r w:rsidRPr="00576185">
        <w:rPr>
          <w:rFonts w:hint="eastAsia"/>
          <w:sz w:val="30"/>
          <w:szCs w:val="30"/>
        </w:rPr>
        <w:t>年</w:t>
      </w:r>
      <w:r w:rsidRPr="00576185">
        <w:rPr>
          <w:rFonts w:hint="eastAsia"/>
          <w:sz w:val="30"/>
          <w:szCs w:val="30"/>
        </w:rPr>
        <w:t>10</w:t>
      </w:r>
      <w:r w:rsidRPr="00576185">
        <w:rPr>
          <w:rFonts w:hint="eastAsia"/>
          <w:sz w:val="30"/>
          <w:szCs w:val="30"/>
        </w:rPr>
        <w:t>月，</w:t>
      </w:r>
      <w:proofErr w:type="gramStart"/>
      <w:r w:rsidRPr="00576185">
        <w:rPr>
          <w:rFonts w:hint="eastAsia"/>
          <w:sz w:val="30"/>
          <w:szCs w:val="30"/>
        </w:rPr>
        <w:t>正信嘉</w:t>
      </w:r>
      <w:proofErr w:type="gramEnd"/>
      <w:r w:rsidRPr="00576185">
        <w:rPr>
          <w:rFonts w:hint="eastAsia"/>
          <w:sz w:val="30"/>
          <w:szCs w:val="30"/>
        </w:rPr>
        <w:t>华又协助中投公司进行了第一次操作风险评估，在《中国投资有限责任公司操作风险与控制自我评估报告》中，</w:t>
      </w:r>
      <w:proofErr w:type="gramStart"/>
      <w:r w:rsidRPr="00576185">
        <w:rPr>
          <w:rFonts w:hint="eastAsia"/>
          <w:sz w:val="30"/>
          <w:szCs w:val="30"/>
        </w:rPr>
        <w:t>正信嘉</w:t>
      </w:r>
      <w:proofErr w:type="gramEnd"/>
      <w:r w:rsidRPr="00576185">
        <w:rPr>
          <w:rFonts w:hint="eastAsia"/>
          <w:sz w:val="30"/>
          <w:szCs w:val="30"/>
        </w:rPr>
        <w:t>华对中投公司固有风险和剩余风险的等级分布和类型分布进行了对比，并筛选和汇</w:t>
      </w:r>
      <w:r w:rsidRPr="00576185">
        <w:rPr>
          <w:rFonts w:hint="eastAsia"/>
          <w:sz w:val="30"/>
          <w:szCs w:val="30"/>
        </w:rPr>
        <w:lastRenderedPageBreak/>
        <w:t>集了需要从公司层面上重点关注的风险。</w:t>
      </w:r>
    </w:p>
    <w:p w:rsidR="00576185" w:rsidRPr="00576185" w:rsidRDefault="00576185" w:rsidP="00576185">
      <w:pPr>
        <w:rPr>
          <w:sz w:val="30"/>
          <w:szCs w:val="30"/>
        </w:rPr>
      </w:pPr>
      <w:r w:rsidRPr="00576185">
        <w:rPr>
          <w:sz w:val="30"/>
          <w:szCs w:val="30"/>
        </w:rPr>
        <w:t xml:space="preserve">     </w:t>
      </w:r>
    </w:p>
    <w:p w:rsidR="00576185" w:rsidRPr="00576185" w:rsidRDefault="00576185" w:rsidP="00576185">
      <w:pPr>
        <w:rPr>
          <w:sz w:val="30"/>
          <w:szCs w:val="30"/>
        </w:rPr>
      </w:pPr>
      <w:r w:rsidRPr="00576185">
        <w:rPr>
          <w:sz w:val="30"/>
          <w:szCs w:val="30"/>
        </w:rPr>
        <w:t xml:space="preserve"> </w:t>
      </w:r>
    </w:p>
    <w:tbl>
      <w:tblPr>
        <w:tblW w:w="4800" w:type="pct"/>
        <w:jc w:val="center"/>
        <w:tblCellSpacing w:w="0" w:type="dxa"/>
        <w:tblCellMar>
          <w:left w:w="0" w:type="dxa"/>
          <w:right w:w="0" w:type="dxa"/>
        </w:tblCellMar>
        <w:tblLook w:val="04A0" w:firstRow="1" w:lastRow="0" w:firstColumn="1" w:lastColumn="0" w:noHBand="0" w:noVBand="1"/>
      </w:tblPr>
      <w:tblGrid>
        <w:gridCol w:w="7974"/>
      </w:tblGrid>
      <w:tr w:rsidR="00576185" w:rsidRPr="00576185">
        <w:trPr>
          <w:tblCellSpacing w:w="0" w:type="dxa"/>
          <w:jc w:val="center"/>
        </w:trPr>
        <w:tc>
          <w:tcPr>
            <w:tcW w:w="0" w:type="auto"/>
            <w:vAlign w:val="center"/>
            <w:hideMark/>
          </w:tcPr>
          <w:p w:rsidR="00576185" w:rsidRPr="00576185" w:rsidRDefault="00576185" w:rsidP="00576185">
            <w:pPr>
              <w:rPr>
                <w:sz w:val="30"/>
                <w:szCs w:val="30"/>
              </w:rPr>
            </w:pPr>
            <w:r w:rsidRPr="00576185">
              <w:rPr>
                <w:sz w:val="30"/>
                <w:szCs w:val="30"/>
              </w:rPr>
              <w:t> </w:t>
            </w:r>
          </w:p>
        </w:tc>
      </w:tr>
      <w:tr w:rsidR="00576185" w:rsidRPr="00576185">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7974"/>
            </w:tblGrid>
            <w:tr w:rsidR="00576185" w:rsidRPr="00576185">
              <w:trPr>
                <w:trHeight w:val="420"/>
                <w:tblCellSpacing w:w="0" w:type="dxa"/>
                <w:jc w:val="center"/>
              </w:trPr>
              <w:tc>
                <w:tcPr>
                  <w:tcW w:w="0" w:type="auto"/>
                  <w:vAlign w:val="center"/>
                  <w:hideMark/>
                </w:tcPr>
                <w:p w:rsidR="00576185" w:rsidRPr="00576185" w:rsidRDefault="00576185" w:rsidP="00576185">
                  <w:pPr>
                    <w:rPr>
                      <w:sz w:val="30"/>
                      <w:szCs w:val="30"/>
                    </w:rPr>
                  </w:pPr>
                  <w:r w:rsidRPr="00576185">
                    <w:rPr>
                      <w:sz w:val="30"/>
                      <w:szCs w:val="30"/>
                    </w:rPr>
                    <w:t>中国建设银行风险管理平台工程</w:t>
                  </w:r>
                </w:p>
              </w:tc>
            </w:tr>
          </w:tbl>
          <w:p w:rsidR="00576185" w:rsidRPr="00576185" w:rsidRDefault="00576185" w:rsidP="00576185">
            <w:pPr>
              <w:rPr>
                <w:sz w:val="30"/>
                <w:szCs w:val="30"/>
              </w:rPr>
            </w:pPr>
          </w:p>
        </w:tc>
      </w:tr>
      <w:tr w:rsidR="00576185" w:rsidRPr="00576185">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974"/>
            </w:tblGrid>
            <w:tr w:rsidR="00576185" w:rsidRPr="00576185">
              <w:trPr>
                <w:tblCellSpacing w:w="0" w:type="dxa"/>
              </w:trPr>
              <w:tc>
                <w:tcPr>
                  <w:tcW w:w="0" w:type="auto"/>
                  <w:vAlign w:val="center"/>
                  <w:hideMark/>
                </w:tcPr>
                <w:p w:rsidR="00576185" w:rsidRPr="00576185" w:rsidRDefault="00576185" w:rsidP="00576185">
                  <w:pPr>
                    <w:rPr>
                      <w:sz w:val="30"/>
                      <w:szCs w:val="30"/>
                    </w:rPr>
                  </w:pPr>
                  <w:r w:rsidRPr="00576185">
                    <w:rPr>
                      <w:sz w:val="30"/>
                      <w:szCs w:val="30"/>
                    </w:rPr>
                    <w:t> </w:t>
                  </w:r>
                </w:p>
              </w:tc>
            </w:tr>
          </w:tbl>
          <w:p w:rsidR="00576185" w:rsidRPr="00576185" w:rsidRDefault="00576185" w:rsidP="00576185">
            <w:pPr>
              <w:rPr>
                <w:sz w:val="30"/>
                <w:szCs w:val="30"/>
              </w:rPr>
            </w:pPr>
          </w:p>
        </w:tc>
      </w:tr>
      <w:tr w:rsidR="00576185" w:rsidRPr="00576185">
        <w:trPr>
          <w:tblCellSpacing w:w="0" w:type="dxa"/>
          <w:jc w:val="center"/>
        </w:trPr>
        <w:tc>
          <w:tcPr>
            <w:tcW w:w="0" w:type="auto"/>
            <w:vAlign w:val="center"/>
            <w:hideMark/>
          </w:tcPr>
          <w:p w:rsidR="00576185" w:rsidRPr="00576185" w:rsidRDefault="00576185" w:rsidP="00576185">
            <w:pPr>
              <w:rPr>
                <w:sz w:val="30"/>
                <w:szCs w:val="30"/>
              </w:rPr>
            </w:pPr>
            <w:r w:rsidRPr="00576185">
              <w:rPr>
                <w:sz w:val="30"/>
                <w:szCs w:val="30"/>
              </w:rPr>
              <w:t>         </w:t>
            </w:r>
            <w:r w:rsidRPr="00576185">
              <w:rPr>
                <w:sz w:val="30"/>
                <w:szCs w:val="30"/>
              </w:rPr>
              <w:t>中国建设银行风险管理平台工程是中国建设银行股改上市两大风险管理工程之一（另一工程是</w:t>
            </w:r>
            <w:r w:rsidRPr="00576185">
              <w:rPr>
                <w:sz w:val="30"/>
                <w:szCs w:val="30"/>
              </w:rPr>
              <w:t>IRB</w:t>
            </w:r>
            <w:r w:rsidRPr="00576185">
              <w:rPr>
                <w:sz w:val="30"/>
                <w:szCs w:val="30"/>
              </w:rPr>
              <w:t>内部评级工程），目的是按照制度化、规范化、精细化的要求，全面加强基础管理和内控建设，建立全面、规范、有效的内部控制体系，建立风险管理的长效机制，为全面风险管理奠定基础，并为实施巴塞尔新资本协议创造条件。</w:t>
            </w:r>
            <w:r w:rsidRPr="00576185">
              <w:rPr>
                <w:sz w:val="30"/>
                <w:szCs w:val="30"/>
              </w:rPr>
              <w:t xml:space="preserve"> </w:t>
            </w:r>
            <w:r w:rsidRPr="00576185">
              <w:rPr>
                <w:sz w:val="30"/>
                <w:szCs w:val="30"/>
              </w:rPr>
              <w:br/>
              <w:t>        </w:t>
            </w:r>
            <w:r w:rsidRPr="00576185">
              <w:rPr>
                <w:sz w:val="30"/>
                <w:szCs w:val="30"/>
              </w:rPr>
              <w:t>在工程建设思路上，</w:t>
            </w:r>
            <w:proofErr w:type="gramStart"/>
            <w:r w:rsidRPr="00576185">
              <w:rPr>
                <w:sz w:val="30"/>
                <w:szCs w:val="30"/>
              </w:rPr>
              <w:t>正信嘉</w:t>
            </w:r>
            <w:proofErr w:type="gramEnd"/>
            <w:r w:rsidRPr="00576185">
              <w:rPr>
                <w:sz w:val="30"/>
                <w:szCs w:val="30"/>
              </w:rPr>
              <w:t>华率先将流程控制和系统管理等理念和方法导入到内部控制和风险管理领域，以此重新构建中国建设银行的内部控制体系。在工程具体实施上，共分了三个阶段，第一阶段是标准制订，从</w:t>
            </w:r>
            <w:r w:rsidRPr="00576185">
              <w:rPr>
                <w:sz w:val="30"/>
                <w:szCs w:val="30"/>
              </w:rPr>
              <w:t>2003</w:t>
            </w:r>
            <w:r w:rsidRPr="00576185">
              <w:rPr>
                <w:sz w:val="30"/>
                <w:szCs w:val="30"/>
              </w:rPr>
              <w:t>年初至</w:t>
            </w:r>
            <w:r w:rsidRPr="00576185">
              <w:rPr>
                <w:sz w:val="30"/>
                <w:szCs w:val="30"/>
              </w:rPr>
              <w:t>2003</w:t>
            </w:r>
            <w:r w:rsidRPr="00576185">
              <w:rPr>
                <w:sz w:val="30"/>
                <w:szCs w:val="30"/>
              </w:rPr>
              <w:t>年</w:t>
            </w:r>
            <w:r w:rsidRPr="00576185">
              <w:rPr>
                <w:sz w:val="30"/>
                <w:szCs w:val="30"/>
              </w:rPr>
              <w:t>6</w:t>
            </w:r>
            <w:r w:rsidRPr="00576185">
              <w:rPr>
                <w:sz w:val="30"/>
                <w:szCs w:val="30"/>
              </w:rPr>
              <w:t>月，</w:t>
            </w:r>
            <w:proofErr w:type="gramStart"/>
            <w:r w:rsidRPr="00576185">
              <w:rPr>
                <w:sz w:val="30"/>
                <w:szCs w:val="30"/>
              </w:rPr>
              <w:t>正信嘉</w:t>
            </w:r>
            <w:proofErr w:type="gramEnd"/>
            <w:r w:rsidRPr="00576185">
              <w:rPr>
                <w:sz w:val="30"/>
                <w:szCs w:val="30"/>
              </w:rPr>
              <w:t>华制订了《内部控制体系</w:t>
            </w:r>
            <w:r w:rsidRPr="00576185">
              <w:rPr>
                <w:sz w:val="30"/>
                <w:szCs w:val="30"/>
              </w:rPr>
              <w:t>-</w:t>
            </w:r>
            <w:r w:rsidRPr="00576185">
              <w:rPr>
                <w:sz w:val="30"/>
                <w:szCs w:val="30"/>
              </w:rPr>
              <w:t>框架和要求》、《内部控制体系</w:t>
            </w:r>
            <w:r w:rsidRPr="00576185">
              <w:rPr>
                <w:sz w:val="30"/>
                <w:szCs w:val="30"/>
              </w:rPr>
              <w:t>-</w:t>
            </w:r>
            <w:r w:rsidRPr="00576185">
              <w:rPr>
                <w:sz w:val="30"/>
                <w:szCs w:val="30"/>
              </w:rPr>
              <w:t>实施指南》和《内部控制体系</w:t>
            </w:r>
            <w:r w:rsidRPr="00576185">
              <w:rPr>
                <w:sz w:val="30"/>
                <w:szCs w:val="30"/>
              </w:rPr>
              <w:t>-</w:t>
            </w:r>
            <w:r w:rsidRPr="00576185">
              <w:rPr>
                <w:sz w:val="30"/>
                <w:szCs w:val="30"/>
              </w:rPr>
              <w:t>审核指南》三个标准，为内控体系的建立提供统一的管理框架；第二阶段是试点，从</w:t>
            </w:r>
            <w:r w:rsidRPr="00576185">
              <w:rPr>
                <w:sz w:val="30"/>
                <w:szCs w:val="30"/>
              </w:rPr>
              <w:t>2003</w:t>
            </w:r>
            <w:r w:rsidRPr="00576185">
              <w:rPr>
                <w:sz w:val="30"/>
                <w:szCs w:val="30"/>
              </w:rPr>
              <w:t>年</w:t>
            </w:r>
            <w:r w:rsidRPr="00576185">
              <w:rPr>
                <w:sz w:val="30"/>
                <w:szCs w:val="30"/>
              </w:rPr>
              <w:t>7</w:t>
            </w:r>
            <w:r w:rsidRPr="00576185">
              <w:rPr>
                <w:sz w:val="30"/>
                <w:szCs w:val="30"/>
              </w:rPr>
              <w:t>月至</w:t>
            </w:r>
            <w:r w:rsidRPr="00576185">
              <w:rPr>
                <w:sz w:val="30"/>
                <w:szCs w:val="30"/>
              </w:rPr>
              <w:t>2004</w:t>
            </w:r>
            <w:r w:rsidRPr="00576185">
              <w:rPr>
                <w:sz w:val="30"/>
                <w:szCs w:val="30"/>
              </w:rPr>
              <w:t>年</w:t>
            </w:r>
            <w:r w:rsidRPr="00576185">
              <w:rPr>
                <w:sz w:val="30"/>
                <w:szCs w:val="30"/>
              </w:rPr>
              <w:t>2</w:t>
            </w:r>
            <w:r w:rsidRPr="00576185">
              <w:rPr>
                <w:sz w:val="30"/>
                <w:szCs w:val="30"/>
              </w:rPr>
              <w:t>月，在上海、厦门等</w:t>
            </w:r>
            <w:r w:rsidRPr="00576185">
              <w:rPr>
                <w:sz w:val="30"/>
                <w:szCs w:val="30"/>
              </w:rPr>
              <w:t>6</w:t>
            </w:r>
            <w:r w:rsidRPr="00576185">
              <w:rPr>
                <w:sz w:val="30"/>
                <w:szCs w:val="30"/>
              </w:rPr>
              <w:t>家分行进行试点；第三阶段是推广，从</w:t>
            </w:r>
            <w:r w:rsidRPr="00576185">
              <w:rPr>
                <w:sz w:val="30"/>
                <w:szCs w:val="30"/>
              </w:rPr>
              <w:t>2004</w:t>
            </w:r>
            <w:r w:rsidRPr="00576185">
              <w:rPr>
                <w:sz w:val="30"/>
                <w:szCs w:val="30"/>
              </w:rPr>
              <w:t>年</w:t>
            </w:r>
            <w:r w:rsidRPr="00576185">
              <w:rPr>
                <w:sz w:val="30"/>
                <w:szCs w:val="30"/>
              </w:rPr>
              <w:t>3</w:t>
            </w:r>
            <w:r w:rsidRPr="00576185">
              <w:rPr>
                <w:sz w:val="30"/>
                <w:szCs w:val="30"/>
              </w:rPr>
              <w:t>月至</w:t>
            </w:r>
            <w:r w:rsidRPr="00576185">
              <w:rPr>
                <w:sz w:val="30"/>
                <w:szCs w:val="30"/>
              </w:rPr>
              <w:t>2004</w:t>
            </w:r>
            <w:r w:rsidRPr="00576185">
              <w:rPr>
                <w:sz w:val="30"/>
                <w:szCs w:val="30"/>
              </w:rPr>
              <w:t>年底，完成总行和其他分行的推广。</w:t>
            </w:r>
            <w:r w:rsidRPr="00576185">
              <w:rPr>
                <w:sz w:val="30"/>
                <w:szCs w:val="30"/>
              </w:rPr>
              <w:t xml:space="preserve"> </w:t>
            </w:r>
            <w:r w:rsidRPr="00576185">
              <w:rPr>
                <w:sz w:val="30"/>
                <w:szCs w:val="30"/>
              </w:rPr>
              <w:br/>
            </w:r>
            <w:r w:rsidRPr="00576185">
              <w:rPr>
                <w:sz w:val="30"/>
                <w:szCs w:val="30"/>
              </w:rPr>
              <w:lastRenderedPageBreak/>
              <w:t>        </w:t>
            </w:r>
            <w:r w:rsidRPr="00576185">
              <w:rPr>
                <w:sz w:val="30"/>
                <w:szCs w:val="30"/>
              </w:rPr>
              <w:t>平台工程建设取得了四项显著成果：一是构建符合</w:t>
            </w:r>
            <w:r w:rsidRPr="00576185">
              <w:rPr>
                <w:sz w:val="30"/>
                <w:szCs w:val="30"/>
              </w:rPr>
              <w:t>COSO</w:t>
            </w:r>
            <w:r w:rsidRPr="00576185">
              <w:rPr>
                <w:sz w:val="30"/>
                <w:szCs w:val="30"/>
              </w:rPr>
              <w:t>、巴塞尔和监管要求的内部控制体系，建立了动态风险控制机制。二是全面地清理了中国建设银行所有规章，在此基础上经过系统地梳理、优化和整合，形成了一套完善的体系文件。三是对所有业务和管理流程中的操作风险进行了系统地排查，有针对性地制订控制措施，有效堵塞了过去管理中的漏洞。四是培育了良好的风险文化，在全行形成一股重视和参与内部控制和风险管理工作的风潮。</w:t>
            </w:r>
            <w:r w:rsidRPr="00576185">
              <w:rPr>
                <w:sz w:val="30"/>
                <w:szCs w:val="30"/>
              </w:rPr>
              <w:t xml:space="preserve"> </w:t>
            </w:r>
            <w:r w:rsidRPr="00576185">
              <w:rPr>
                <w:sz w:val="30"/>
                <w:szCs w:val="30"/>
              </w:rPr>
              <w:br/>
              <w:t>        </w:t>
            </w:r>
            <w:r w:rsidRPr="00576185">
              <w:rPr>
                <w:sz w:val="30"/>
                <w:szCs w:val="30"/>
              </w:rPr>
              <w:t>该工程成功实施后，中国建设银行在其</w:t>
            </w:r>
            <w:r w:rsidRPr="00576185">
              <w:rPr>
                <w:sz w:val="30"/>
                <w:szCs w:val="30"/>
              </w:rPr>
              <w:t>IPO</w:t>
            </w:r>
            <w:r w:rsidRPr="00576185">
              <w:rPr>
                <w:sz w:val="30"/>
                <w:szCs w:val="30"/>
              </w:rPr>
              <w:t>全球招股说明书中进行了专门阐述，表明其建立了符合国际标准的内部控制体系。该工程的成功实施，也引起了监管部门的高度关注和肯定，并为《商业银行内部控制评价办法》（中国银监会九号令）的出台提供了实践基础。目前为止，此项目为中国管理咨询行业最大的业绩。</w:t>
            </w:r>
            <w:r w:rsidRPr="00576185">
              <w:rPr>
                <w:sz w:val="30"/>
                <w:szCs w:val="30"/>
              </w:rPr>
              <w:br/>
              <w:t>    </w:t>
            </w:r>
          </w:p>
        </w:tc>
      </w:tr>
    </w:tbl>
    <w:p w:rsidR="00576185" w:rsidRPr="00576185" w:rsidRDefault="00576185" w:rsidP="00576185">
      <w:pPr>
        <w:rPr>
          <w:sz w:val="30"/>
          <w:szCs w:val="30"/>
        </w:rPr>
      </w:pPr>
    </w:p>
    <w:p w:rsidR="00576185" w:rsidRPr="00576185" w:rsidRDefault="00576185" w:rsidP="00576185">
      <w:pPr>
        <w:rPr>
          <w:sz w:val="30"/>
          <w:szCs w:val="30"/>
        </w:rPr>
      </w:pPr>
      <w:r w:rsidRPr="00576185">
        <w:rPr>
          <w:b/>
          <w:bCs/>
          <w:sz w:val="30"/>
          <w:szCs w:val="30"/>
        </w:rPr>
        <w:t>从内部控制看巴林银行的风险管理</w:t>
      </w:r>
    </w:p>
    <w:p w:rsidR="00576185" w:rsidRPr="00576185" w:rsidRDefault="00576185" w:rsidP="00576185">
      <w:pPr>
        <w:rPr>
          <w:sz w:val="30"/>
          <w:szCs w:val="30"/>
        </w:rPr>
      </w:pPr>
    </w:p>
    <w:p w:rsidR="00576185" w:rsidRPr="00576185" w:rsidRDefault="00576185" w:rsidP="00576185">
      <w:pPr>
        <w:rPr>
          <w:sz w:val="30"/>
          <w:szCs w:val="30"/>
        </w:rPr>
      </w:pPr>
      <w:r w:rsidRPr="00576185">
        <w:rPr>
          <w:b/>
          <w:bCs/>
          <w:sz w:val="30"/>
          <w:szCs w:val="30"/>
        </w:rPr>
        <w:t> </w:t>
      </w:r>
    </w:p>
    <w:p w:rsidR="00576185" w:rsidRPr="00576185" w:rsidRDefault="00576185" w:rsidP="00576185">
      <w:pPr>
        <w:rPr>
          <w:sz w:val="30"/>
          <w:szCs w:val="30"/>
        </w:rPr>
      </w:pPr>
      <w:r w:rsidRPr="00576185">
        <w:rPr>
          <w:b/>
          <w:bCs/>
          <w:sz w:val="30"/>
          <w:szCs w:val="30"/>
        </w:rPr>
        <w:t>摘</w:t>
      </w:r>
      <w:r w:rsidRPr="00576185">
        <w:rPr>
          <w:b/>
          <w:bCs/>
          <w:sz w:val="30"/>
          <w:szCs w:val="30"/>
        </w:rPr>
        <w:t xml:space="preserve">  </w:t>
      </w:r>
      <w:r w:rsidRPr="00576185">
        <w:rPr>
          <w:b/>
          <w:bCs/>
          <w:sz w:val="30"/>
          <w:szCs w:val="30"/>
        </w:rPr>
        <w:t>要</w:t>
      </w:r>
    </w:p>
    <w:p w:rsidR="00576185" w:rsidRPr="00576185" w:rsidRDefault="00576185" w:rsidP="00576185">
      <w:pPr>
        <w:rPr>
          <w:sz w:val="30"/>
          <w:szCs w:val="30"/>
        </w:rPr>
      </w:pPr>
      <w:r w:rsidRPr="00576185">
        <w:rPr>
          <w:b/>
          <w:bCs/>
          <w:sz w:val="30"/>
          <w:szCs w:val="30"/>
        </w:rPr>
        <w:t> </w:t>
      </w:r>
    </w:p>
    <w:p w:rsidR="00576185" w:rsidRPr="00576185" w:rsidRDefault="00576185" w:rsidP="00576185">
      <w:pPr>
        <w:rPr>
          <w:sz w:val="30"/>
          <w:szCs w:val="30"/>
        </w:rPr>
      </w:pPr>
      <w:r w:rsidRPr="00576185">
        <w:rPr>
          <w:sz w:val="30"/>
          <w:szCs w:val="30"/>
        </w:rPr>
        <w:t xml:space="preserve">     </w:t>
      </w:r>
      <w:proofErr w:type="gramStart"/>
      <w:r w:rsidRPr="00576185">
        <w:rPr>
          <w:sz w:val="30"/>
          <w:szCs w:val="30"/>
        </w:rPr>
        <w:t>当中航</w:t>
      </w:r>
      <w:proofErr w:type="gramEnd"/>
      <w:r w:rsidRPr="00576185">
        <w:rPr>
          <w:sz w:val="30"/>
          <w:szCs w:val="30"/>
        </w:rPr>
        <w:t>油事件以后，很多人都在思考金融衍生产品带来的巨</w:t>
      </w:r>
      <w:r w:rsidRPr="00576185">
        <w:rPr>
          <w:sz w:val="30"/>
          <w:szCs w:val="30"/>
        </w:rPr>
        <w:lastRenderedPageBreak/>
        <w:t>大</w:t>
      </w:r>
      <w:r w:rsidRPr="00576185">
        <w:rPr>
          <w:sz w:val="30"/>
          <w:szCs w:val="30"/>
        </w:rPr>
        <w:t>“</w:t>
      </w:r>
      <w:r w:rsidRPr="00576185">
        <w:rPr>
          <w:sz w:val="30"/>
          <w:szCs w:val="30"/>
        </w:rPr>
        <w:t>杀伤力</w:t>
      </w:r>
      <w:r w:rsidRPr="00576185">
        <w:rPr>
          <w:sz w:val="30"/>
          <w:szCs w:val="30"/>
        </w:rPr>
        <w:t>”</w:t>
      </w:r>
      <w:r w:rsidRPr="00576185">
        <w:rPr>
          <w:sz w:val="30"/>
          <w:szCs w:val="30"/>
        </w:rPr>
        <w:t>，而具有</w:t>
      </w:r>
      <w:r w:rsidRPr="00576185">
        <w:rPr>
          <w:sz w:val="30"/>
          <w:szCs w:val="30"/>
        </w:rPr>
        <w:t>233</w:t>
      </w:r>
      <w:r w:rsidRPr="00576185">
        <w:rPr>
          <w:sz w:val="30"/>
          <w:szCs w:val="30"/>
        </w:rPr>
        <w:t>年历史的巴林银行也因为金融衍生产品交易不当被迫破产。在我国，能够进行金融衍生产品交易的机构，除了企业外，还有我国的商业银行。那么我国的商业银行会不会出现下一个</w:t>
      </w:r>
      <w:r w:rsidRPr="00576185">
        <w:rPr>
          <w:sz w:val="30"/>
          <w:szCs w:val="30"/>
        </w:rPr>
        <w:t>“</w:t>
      </w:r>
      <w:r w:rsidRPr="00576185">
        <w:rPr>
          <w:sz w:val="30"/>
          <w:szCs w:val="30"/>
        </w:rPr>
        <w:t>巴林银行</w:t>
      </w:r>
      <w:r w:rsidRPr="00576185">
        <w:rPr>
          <w:sz w:val="30"/>
          <w:szCs w:val="30"/>
        </w:rPr>
        <w:t>”</w:t>
      </w:r>
      <w:r w:rsidRPr="00576185">
        <w:rPr>
          <w:sz w:val="30"/>
          <w:szCs w:val="30"/>
        </w:rPr>
        <w:t>？最近，银监会就中航油事件向各家银行发出风险提示，要求各政策性银行、国有商业银行和股份制商业银行从中航油事件中吸取教训，切实加强衍生产品交易业务的风险管理。</w:t>
      </w:r>
    </w:p>
    <w:p w:rsidR="00576185" w:rsidRPr="00576185" w:rsidRDefault="00576185" w:rsidP="00576185">
      <w:pPr>
        <w:rPr>
          <w:sz w:val="30"/>
          <w:szCs w:val="30"/>
        </w:rPr>
      </w:pPr>
      <w:r w:rsidRPr="00576185">
        <w:rPr>
          <w:sz w:val="30"/>
          <w:szCs w:val="30"/>
        </w:rPr>
        <w:t>我国已经对从事衍生产品交易的金融机构制定了具备严格的条件。但是，这并不能够达到完完全全地控制风险，许多人为因素仍然可以使这些内控制度形同虚设。为此，还必须建立完善的公司治理结构，组建良好的风险管理组织架构。</w:t>
      </w:r>
    </w:p>
    <w:p w:rsidR="00576185" w:rsidRPr="00576185" w:rsidRDefault="00576185" w:rsidP="00576185">
      <w:pPr>
        <w:rPr>
          <w:sz w:val="30"/>
          <w:szCs w:val="30"/>
        </w:rPr>
      </w:pPr>
      <w:r w:rsidRPr="00576185">
        <w:rPr>
          <w:sz w:val="30"/>
          <w:szCs w:val="30"/>
        </w:rPr>
        <w:t xml:space="preserve">    </w:t>
      </w:r>
      <w:r w:rsidRPr="00576185">
        <w:rPr>
          <w:sz w:val="30"/>
          <w:szCs w:val="30"/>
        </w:rPr>
        <w:t>本文就从内部控制的角度分析一下巴林银行失败的风险管理。</w:t>
      </w:r>
    </w:p>
    <w:p w:rsidR="00576185" w:rsidRPr="00576185" w:rsidRDefault="00576185" w:rsidP="00576185">
      <w:pPr>
        <w:rPr>
          <w:sz w:val="30"/>
          <w:szCs w:val="30"/>
        </w:rPr>
      </w:pPr>
      <w:r w:rsidRPr="00576185">
        <w:rPr>
          <w:sz w:val="30"/>
          <w:szCs w:val="30"/>
        </w:rPr>
        <w:t> </w:t>
      </w:r>
    </w:p>
    <w:p w:rsidR="00576185" w:rsidRPr="00576185" w:rsidRDefault="00576185" w:rsidP="00576185">
      <w:pPr>
        <w:rPr>
          <w:sz w:val="30"/>
          <w:szCs w:val="30"/>
        </w:rPr>
      </w:pPr>
      <w:r w:rsidRPr="00576185">
        <w:rPr>
          <w:sz w:val="30"/>
          <w:szCs w:val="30"/>
        </w:rPr>
        <w:t> </w:t>
      </w:r>
    </w:p>
    <w:p w:rsidR="00576185" w:rsidRPr="00576185" w:rsidRDefault="00576185" w:rsidP="00576185">
      <w:pPr>
        <w:rPr>
          <w:sz w:val="30"/>
          <w:szCs w:val="30"/>
        </w:rPr>
      </w:pPr>
      <w:r w:rsidRPr="00576185">
        <w:rPr>
          <w:sz w:val="30"/>
          <w:szCs w:val="30"/>
        </w:rPr>
        <w:t> </w:t>
      </w:r>
    </w:p>
    <w:p w:rsidR="00576185" w:rsidRPr="00576185" w:rsidRDefault="00576185" w:rsidP="00576185">
      <w:pPr>
        <w:rPr>
          <w:sz w:val="30"/>
          <w:szCs w:val="30"/>
        </w:rPr>
      </w:pPr>
      <w:r w:rsidRPr="00576185">
        <w:rPr>
          <w:sz w:val="30"/>
          <w:szCs w:val="30"/>
        </w:rPr>
        <w:t> </w:t>
      </w:r>
    </w:p>
    <w:p w:rsidR="00576185" w:rsidRPr="00576185" w:rsidRDefault="00576185" w:rsidP="00576185">
      <w:pPr>
        <w:rPr>
          <w:sz w:val="30"/>
          <w:szCs w:val="30"/>
        </w:rPr>
      </w:pPr>
      <w:r w:rsidRPr="00576185">
        <w:rPr>
          <w:b/>
          <w:bCs/>
          <w:sz w:val="30"/>
          <w:szCs w:val="30"/>
        </w:rPr>
        <w:t>关键词：</w:t>
      </w:r>
      <w:r w:rsidRPr="00576185">
        <w:rPr>
          <w:sz w:val="30"/>
          <w:szCs w:val="30"/>
        </w:rPr>
        <w:t>内部控制</w:t>
      </w:r>
      <w:r w:rsidRPr="00576185">
        <w:rPr>
          <w:sz w:val="30"/>
          <w:szCs w:val="30"/>
        </w:rPr>
        <w:t xml:space="preserve">  </w:t>
      </w:r>
      <w:r w:rsidRPr="00576185">
        <w:rPr>
          <w:sz w:val="30"/>
          <w:szCs w:val="30"/>
        </w:rPr>
        <w:t>市场性风险</w:t>
      </w:r>
      <w:r w:rsidRPr="00576185">
        <w:rPr>
          <w:sz w:val="30"/>
          <w:szCs w:val="30"/>
        </w:rPr>
        <w:t xml:space="preserve">  </w:t>
      </w:r>
      <w:r w:rsidRPr="00576185">
        <w:rPr>
          <w:sz w:val="30"/>
          <w:szCs w:val="30"/>
        </w:rPr>
        <w:t>操作性风险</w:t>
      </w:r>
      <w:r w:rsidRPr="00576185">
        <w:rPr>
          <w:sz w:val="30"/>
          <w:szCs w:val="30"/>
        </w:rPr>
        <w:t xml:space="preserve">  </w:t>
      </w:r>
      <w:r w:rsidRPr="00576185">
        <w:rPr>
          <w:sz w:val="30"/>
          <w:szCs w:val="30"/>
        </w:rPr>
        <w:t>巴塞尔协议</w:t>
      </w:r>
    </w:p>
    <w:p w:rsidR="00576185" w:rsidRPr="00576185" w:rsidRDefault="00576185" w:rsidP="00576185">
      <w:pPr>
        <w:rPr>
          <w:sz w:val="30"/>
          <w:szCs w:val="30"/>
        </w:rPr>
      </w:pPr>
    </w:p>
    <w:p w:rsidR="00576185" w:rsidRPr="00576185" w:rsidRDefault="00576185" w:rsidP="00576185">
      <w:pPr>
        <w:rPr>
          <w:sz w:val="30"/>
          <w:szCs w:val="30"/>
        </w:rPr>
      </w:pPr>
      <w:r w:rsidRPr="00576185">
        <w:rPr>
          <w:b/>
          <w:bCs/>
          <w:sz w:val="30"/>
          <w:szCs w:val="30"/>
        </w:rPr>
        <w:t>从内部控制看巴林银行的风险管理</w:t>
      </w:r>
    </w:p>
    <w:p w:rsidR="00576185" w:rsidRPr="00576185" w:rsidRDefault="00576185" w:rsidP="00576185">
      <w:pPr>
        <w:rPr>
          <w:sz w:val="30"/>
          <w:szCs w:val="30"/>
        </w:rPr>
      </w:pPr>
      <w:r w:rsidRPr="00576185">
        <w:rPr>
          <w:b/>
          <w:bCs/>
          <w:sz w:val="30"/>
          <w:szCs w:val="30"/>
        </w:rPr>
        <w:t> </w:t>
      </w:r>
    </w:p>
    <w:p w:rsidR="00576185" w:rsidRPr="00576185" w:rsidRDefault="00576185" w:rsidP="00576185">
      <w:pPr>
        <w:rPr>
          <w:sz w:val="30"/>
          <w:szCs w:val="30"/>
        </w:rPr>
      </w:pPr>
      <w:r w:rsidRPr="00576185">
        <w:rPr>
          <w:b/>
          <w:bCs/>
          <w:sz w:val="30"/>
          <w:szCs w:val="30"/>
        </w:rPr>
        <w:t>一、引言</w:t>
      </w:r>
    </w:p>
    <w:p w:rsidR="00576185" w:rsidRPr="00576185" w:rsidRDefault="00576185" w:rsidP="00576185">
      <w:pPr>
        <w:rPr>
          <w:sz w:val="30"/>
          <w:szCs w:val="30"/>
        </w:rPr>
      </w:pPr>
      <w:r w:rsidRPr="00576185">
        <w:rPr>
          <w:sz w:val="30"/>
          <w:szCs w:val="30"/>
        </w:rPr>
        <w:t xml:space="preserve">     </w:t>
      </w:r>
      <w:r w:rsidRPr="00576185">
        <w:rPr>
          <w:sz w:val="30"/>
          <w:szCs w:val="30"/>
        </w:rPr>
        <w:t>巴林银行是世界首家</w:t>
      </w:r>
      <w:r w:rsidRPr="00576185">
        <w:rPr>
          <w:sz w:val="30"/>
          <w:szCs w:val="30"/>
        </w:rPr>
        <w:t>“</w:t>
      </w:r>
      <w:r w:rsidRPr="00576185">
        <w:rPr>
          <w:sz w:val="30"/>
          <w:szCs w:val="30"/>
        </w:rPr>
        <w:t>商业银行</w:t>
      </w:r>
      <w:r w:rsidRPr="00576185">
        <w:rPr>
          <w:sz w:val="30"/>
          <w:szCs w:val="30"/>
        </w:rPr>
        <w:t>”</w:t>
      </w:r>
      <w:r w:rsidRPr="00576185">
        <w:rPr>
          <w:sz w:val="30"/>
          <w:szCs w:val="30"/>
        </w:rPr>
        <w:t>，是由弗朗西</w:t>
      </w:r>
      <w:r w:rsidRPr="00576185">
        <w:rPr>
          <w:sz w:val="30"/>
          <w:szCs w:val="30"/>
        </w:rPr>
        <w:t>·</w:t>
      </w:r>
      <w:r w:rsidRPr="00576185">
        <w:rPr>
          <w:sz w:val="30"/>
          <w:szCs w:val="30"/>
        </w:rPr>
        <w:t>巴林爵士</w:t>
      </w:r>
      <w:r w:rsidRPr="00576185">
        <w:rPr>
          <w:sz w:val="30"/>
          <w:szCs w:val="30"/>
        </w:rPr>
        <w:t>1763</w:t>
      </w:r>
      <w:r w:rsidRPr="00576185">
        <w:rPr>
          <w:sz w:val="30"/>
          <w:szCs w:val="30"/>
        </w:rPr>
        <w:lastRenderedPageBreak/>
        <w:t>年在伦敦创建的。创建初期，经营灵活变通、富于创新，业务范围也相当广泛，无论是到</w:t>
      </w:r>
      <w:r w:rsidRPr="00576185">
        <w:rPr>
          <w:rFonts w:hint="eastAsia"/>
          <w:sz w:val="30"/>
          <w:szCs w:val="30"/>
        </w:rPr>
        <w:fldChar w:fldCharType="begin"/>
      </w:r>
      <w:r w:rsidRPr="00576185">
        <w:rPr>
          <w:rFonts w:hint="eastAsia"/>
          <w:sz w:val="30"/>
          <w:szCs w:val="30"/>
        </w:rPr>
        <w:instrText xml:space="preserve"> HYPERLINK "http://baike.baidu.com/view/18486.htm" \t "_blank" </w:instrText>
      </w:r>
      <w:r w:rsidRPr="00576185">
        <w:rPr>
          <w:rFonts w:hint="eastAsia"/>
          <w:sz w:val="30"/>
          <w:szCs w:val="30"/>
        </w:rPr>
        <w:fldChar w:fldCharType="separate"/>
      </w:r>
      <w:r w:rsidRPr="00576185">
        <w:rPr>
          <w:rStyle w:val="a3"/>
          <w:sz w:val="30"/>
          <w:szCs w:val="30"/>
        </w:rPr>
        <w:t>刚果</w:t>
      </w:r>
      <w:r w:rsidRPr="00576185">
        <w:rPr>
          <w:rFonts w:hint="eastAsia"/>
          <w:sz w:val="30"/>
          <w:szCs w:val="30"/>
        </w:rPr>
        <w:fldChar w:fldCharType="end"/>
      </w:r>
      <w:r w:rsidRPr="00576185">
        <w:rPr>
          <w:sz w:val="30"/>
          <w:szCs w:val="30"/>
        </w:rPr>
        <w:t>提炼铜矿，从澳大利亚贩运羊毛，还是开掘</w:t>
      </w:r>
      <w:hyperlink r:id="rId5" w:tgtFrame="_blank" w:history="1">
        <w:r w:rsidRPr="00576185">
          <w:rPr>
            <w:rStyle w:val="a3"/>
            <w:sz w:val="30"/>
            <w:szCs w:val="30"/>
          </w:rPr>
          <w:t>巴拿马运河</w:t>
        </w:r>
      </w:hyperlink>
      <w:r w:rsidRPr="00576185">
        <w:rPr>
          <w:sz w:val="30"/>
          <w:szCs w:val="30"/>
        </w:rPr>
        <w:t>，巴林银行都可以为之提供贷款。但巴林银行有别于普通的商业银行，它不开发普通客户存款业务，故其资金来源比较有限，只能靠自身的力量来谋求生存和发展。在</w:t>
      </w:r>
      <w:r w:rsidRPr="00576185">
        <w:rPr>
          <w:sz w:val="30"/>
          <w:szCs w:val="30"/>
        </w:rPr>
        <w:t xml:space="preserve">1803 </w:t>
      </w:r>
      <w:r w:rsidRPr="00576185">
        <w:rPr>
          <w:sz w:val="30"/>
          <w:szCs w:val="30"/>
        </w:rPr>
        <w:t>年，刚刚诞生的美国从法国手中购买南部的路易斯安纳州时，所用资金就出自巴林银行。</w:t>
      </w:r>
      <w:r w:rsidRPr="00576185">
        <w:rPr>
          <w:sz w:val="30"/>
          <w:szCs w:val="30"/>
        </w:rPr>
        <w:t xml:space="preserve">1886 </w:t>
      </w:r>
      <w:r w:rsidRPr="00576185">
        <w:rPr>
          <w:sz w:val="30"/>
          <w:szCs w:val="30"/>
        </w:rPr>
        <w:t>年，巴林银行发行</w:t>
      </w:r>
      <w:r w:rsidRPr="00576185">
        <w:rPr>
          <w:sz w:val="30"/>
          <w:szCs w:val="30"/>
        </w:rPr>
        <w:t>"</w:t>
      </w:r>
      <w:r w:rsidRPr="00576185">
        <w:rPr>
          <w:sz w:val="30"/>
          <w:szCs w:val="30"/>
        </w:rPr>
        <w:t>吉尼士</w:t>
      </w:r>
      <w:r w:rsidRPr="00576185">
        <w:rPr>
          <w:sz w:val="30"/>
          <w:szCs w:val="30"/>
        </w:rPr>
        <w:t>"</w:t>
      </w:r>
      <w:r w:rsidRPr="00576185">
        <w:rPr>
          <w:sz w:val="30"/>
          <w:szCs w:val="30"/>
        </w:rPr>
        <w:t>证券，购买者手持申请表如潮水一样涌进银行，后来不得不动用警力来维持，很多人排上几个小时后，买下少量股票，然后伺机抛出。等到第二天抛出时，股票价格已涨了一倍。</w:t>
      </w:r>
      <w:r w:rsidRPr="00576185">
        <w:rPr>
          <w:sz w:val="30"/>
          <w:szCs w:val="30"/>
        </w:rPr>
        <w:t xml:space="preserve">20 </w:t>
      </w:r>
      <w:r w:rsidRPr="00576185">
        <w:rPr>
          <w:sz w:val="30"/>
          <w:szCs w:val="30"/>
        </w:rPr>
        <w:t>世纪初，巴林银行荣幸地获得了一个特殊客户：英国王室。由于巴林银行的卓越贡献，巴林家族先后获得了五个世袭的爵位。这可算得上一个世界记录，从而奠定了巴林银行显赫地位的基础。由此巴林银行很快就在国际金融领域获得了巨大的成功。尤其是进入</w:t>
      </w:r>
      <w:r w:rsidRPr="00576185">
        <w:rPr>
          <w:sz w:val="30"/>
          <w:szCs w:val="30"/>
        </w:rPr>
        <w:t>20</w:t>
      </w:r>
      <w:r w:rsidRPr="00576185">
        <w:rPr>
          <w:sz w:val="30"/>
          <w:szCs w:val="30"/>
        </w:rPr>
        <w:t>世纪以后，具有悠久历史的巴林银行曾创造了无</w:t>
      </w:r>
      <w:proofErr w:type="gramStart"/>
      <w:r w:rsidRPr="00576185">
        <w:rPr>
          <w:sz w:val="30"/>
          <w:szCs w:val="30"/>
        </w:rPr>
        <w:t>数令人</w:t>
      </w:r>
      <w:proofErr w:type="gramEnd"/>
      <w:r w:rsidRPr="00576185">
        <w:rPr>
          <w:sz w:val="30"/>
          <w:szCs w:val="30"/>
        </w:rPr>
        <w:t>瞠目的业绩，其雄厚的资产实力使它在世界证券史上具有特殊的地位。可以这样说：巴林银行是金融市场上一座耀眼辉煌的金字塔。然而，就是这座百年金字塔，却葬身于一个</w:t>
      </w:r>
      <w:r w:rsidRPr="00576185">
        <w:rPr>
          <w:sz w:val="30"/>
          <w:szCs w:val="30"/>
        </w:rPr>
        <w:t>“</w:t>
      </w:r>
      <w:hyperlink r:id="rId6" w:tgtFrame="_blank" w:history="1">
        <w:r w:rsidRPr="00576185">
          <w:rPr>
            <w:rStyle w:val="a3"/>
            <w:sz w:val="30"/>
            <w:szCs w:val="30"/>
          </w:rPr>
          <w:t>期货</w:t>
        </w:r>
      </w:hyperlink>
      <w:r w:rsidRPr="00576185">
        <w:rPr>
          <w:sz w:val="30"/>
          <w:szCs w:val="30"/>
        </w:rPr>
        <w:t>与期权结算方面的专家</w:t>
      </w:r>
      <w:r w:rsidRPr="00576185">
        <w:rPr>
          <w:sz w:val="30"/>
          <w:szCs w:val="30"/>
        </w:rPr>
        <w:t>”</w:t>
      </w:r>
      <w:r w:rsidRPr="00576185">
        <w:rPr>
          <w:sz w:val="30"/>
          <w:szCs w:val="30"/>
        </w:rPr>
        <w:t>里森之手！</w:t>
      </w:r>
    </w:p>
    <w:p w:rsidR="00576185" w:rsidRPr="00576185" w:rsidRDefault="00576185" w:rsidP="00576185">
      <w:pPr>
        <w:rPr>
          <w:sz w:val="30"/>
          <w:szCs w:val="30"/>
        </w:rPr>
      </w:pPr>
      <w:r w:rsidRPr="00576185">
        <w:rPr>
          <w:sz w:val="30"/>
          <w:szCs w:val="30"/>
        </w:rPr>
        <w:t xml:space="preserve">    </w:t>
      </w:r>
      <w:r w:rsidRPr="00576185">
        <w:rPr>
          <w:sz w:val="30"/>
          <w:szCs w:val="30"/>
        </w:rPr>
        <w:t>有人曾这样评价，正是巴林银行内部控制的缺失，使得里森的</w:t>
      </w:r>
      <w:r w:rsidRPr="00576185">
        <w:rPr>
          <w:sz w:val="30"/>
          <w:szCs w:val="30"/>
        </w:rPr>
        <w:t>“</w:t>
      </w:r>
      <w:r w:rsidRPr="00576185">
        <w:rPr>
          <w:sz w:val="30"/>
          <w:szCs w:val="30"/>
        </w:rPr>
        <w:t>错误</w:t>
      </w:r>
      <w:r w:rsidRPr="00576185">
        <w:rPr>
          <w:sz w:val="30"/>
          <w:szCs w:val="30"/>
        </w:rPr>
        <w:t>”</w:t>
      </w:r>
      <w:r w:rsidRPr="00576185">
        <w:rPr>
          <w:sz w:val="30"/>
          <w:szCs w:val="30"/>
        </w:rPr>
        <w:t>的影响被无限度地放大了，最终成为</w:t>
      </w:r>
      <w:r w:rsidRPr="00576185">
        <w:rPr>
          <w:sz w:val="30"/>
          <w:szCs w:val="30"/>
        </w:rPr>
        <w:t>“</w:t>
      </w:r>
      <w:r w:rsidRPr="00576185">
        <w:rPr>
          <w:sz w:val="30"/>
          <w:szCs w:val="30"/>
        </w:rPr>
        <w:t>撬动巴林根基的杠杆</w:t>
      </w:r>
      <w:r w:rsidRPr="00576185">
        <w:rPr>
          <w:sz w:val="30"/>
          <w:szCs w:val="30"/>
        </w:rPr>
        <w:t>”</w:t>
      </w:r>
      <w:r w:rsidRPr="00576185">
        <w:rPr>
          <w:sz w:val="30"/>
          <w:szCs w:val="30"/>
        </w:rPr>
        <w:t>。也就是说，巴林银行的终结从根本上是源自内部控制的缺</w:t>
      </w:r>
      <w:r w:rsidRPr="00576185">
        <w:rPr>
          <w:sz w:val="30"/>
          <w:szCs w:val="30"/>
        </w:rPr>
        <w:lastRenderedPageBreak/>
        <w:t>失。</w:t>
      </w:r>
    </w:p>
    <w:p w:rsidR="00576185" w:rsidRPr="00576185" w:rsidRDefault="00576185" w:rsidP="00576185">
      <w:pPr>
        <w:rPr>
          <w:sz w:val="30"/>
          <w:szCs w:val="30"/>
        </w:rPr>
      </w:pPr>
      <w:r w:rsidRPr="00576185">
        <w:rPr>
          <w:b/>
          <w:bCs/>
          <w:sz w:val="30"/>
          <w:szCs w:val="30"/>
        </w:rPr>
        <w:t>二、文献综述</w:t>
      </w:r>
    </w:p>
    <w:p w:rsidR="00576185" w:rsidRPr="00576185" w:rsidRDefault="00576185" w:rsidP="00576185">
      <w:pPr>
        <w:rPr>
          <w:sz w:val="30"/>
          <w:szCs w:val="30"/>
        </w:rPr>
      </w:pPr>
      <w:r w:rsidRPr="00576185">
        <w:rPr>
          <w:sz w:val="30"/>
          <w:szCs w:val="30"/>
        </w:rPr>
        <w:t>     2004</w:t>
      </w:r>
      <w:r w:rsidRPr="00576185">
        <w:rPr>
          <w:sz w:val="30"/>
          <w:szCs w:val="30"/>
        </w:rPr>
        <w:t>年《</w:t>
      </w:r>
      <w:proofErr w:type="spellStart"/>
      <w:r w:rsidRPr="00576185">
        <w:rPr>
          <w:sz w:val="30"/>
          <w:szCs w:val="30"/>
        </w:rPr>
        <w:t>coso</w:t>
      </w:r>
      <w:proofErr w:type="spellEnd"/>
      <w:r w:rsidRPr="00576185">
        <w:rPr>
          <w:sz w:val="30"/>
          <w:szCs w:val="30"/>
        </w:rPr>
        <w:t>企业风险管理</w:t>
      </w:r>
      <w:r w:rsidRPr="00576185">
        <w:rPr>
          <w:sz w:val="30"/>
          <w:szCs w:val="30"/>
        </w:rPr>
        <w:t xml:space="preserve">—— </w:t>
      </w:r>
      <w:r w:rsidRPr="00576185">
        <w:rPr>
          <w:sz w:val="30"/>
          <w:szCs w:val="30"/>
        </w:rPr>
        <w:t>整合框架》中论述到内部环境包含组织的基调，它为主体内的人员如何认识和对待风险设定了基础，包括风险管理理念和风险容量、诚信和道德价值观、组织结构以及他们所处的经营环境。</w:t>
      </w:r>
    </w:p>
    <w:p w:rsidR="00576185" w:rsidRPr="00576185" w:rsidRDefault="00576185" w:rsidP="00576185">
      <w:pPr>
        <w:rPr>
          <w:sz w:val="30"/>
          <w:szCs w:val="30"/>
        </w:rPr>
      </w:pPr>
      <w:r w:rsidRPr="00576185">
        <w:rPr>
          <w:sz w:val="30"/>
          <w:szCs w:val="30"/>
        </w:rPr>
        <w:t>    ERM</w:t>
      </w:r>
      <w:r w:rsidRPr="00576185">
        <w:rPr>
          <w:sz w:val="30"/>
          <w:szCs w:val="30"/>
        </w:rPr>
        <w:t>框架对内部控制的定义明确了以下内容：（</w:t>
      </w:r>
      <w:r w:rsidRPr="00576185">
        <w:rPr>
          <w:sz w:val="30"/>
          <w:szCs w:val="30"/>
        </w:rPr>
        <w:t>1</w:t>
      </w:r>
      <w:r w:rsidRPr="00576185">
        <w:rPr>
          <w:sz w:val="30"/>
          <w:szCs w:val="30"/>
        </w:rPr>
        <w:t>）是一个过程；（</w:t>
      </w:r>
      <w:r w:rsidRPr="00576185">
        <w:rPr>
          <w:sz w:val="30"/>
          <w:szCs w:val="30"/>
        </w:rPr>
        <w:t>2</w:t>
      </w:r>
      <w:r w:rsidRPr="00576185">
        <w:rPr>
          <w:sz w:val="30"/>
          <w:szCs w:val="30"/>
        </w:rPr>
        <w:t>）被人影响；（</w:t>
      </w:r>
      <w:r w:rsidRPr="00576185">
        <w:rPr>
          <w:sz w:val="30"/>
          <w:szCs w:val="30"/>
        </w:rPr>
        <w:t>3</w:t>
      </w:r>
      <w:r w:rsidRPr="00576185">
        <w:rPr>
          <w:sz w:val="30"/>
          <w:szCs w:val="30"/>
        </w:rPr>
        <w:t>）</w:t>
      </w:r>
      <w:hyperlink r:id="rId7" w:history="1">
        <w:r w:rsidRPr="00576185">
          <w:rPr>
            <w:rStyle w:val="a3"/>
            <w:sz w:val="30"/>
            <w:szCs w:val="30"/>
          </w:rPr>
          <w:t>应用</w:t>
        </w:r>
      </w:hyperlink>
      <w:r w:rsidRPr="00576185">
        <w:rPr>
          <w:sz w:val="30"/>
          <w:szCs w:val="30"/>
        </w:rPr>
        <w:t>于战略制定；（</w:t>
      </w:r>
      <w:r w:rsidRPr="00576185">
        <w:rPr>
          <w:sz w:val="30"/>
          <w:szCs w:val="30"/>
        </w:rPr>
        <w:t>4</w:t>
      </w:r>
      <w:r w:rsidRPr="00576185">
        <w:rPr>
          <w:sz w:val="30"/>
          <w:szCs w:val="30"/>
        </w:rPr>
        <w:t>）贯穿整个企业的所有层级和单位；（</w:t>
      </w:r>
      <w:r w:rsidRPr="00576185">
        <w:rPr>
          <w:sz w:val="30"/>
          <w:szCs w:val="30"/>
        </w:rPr>
        <w:t>5</w:t>
      </w:r>
      <w:r w:rsidRPr="00576185">
        <w:rPr>
          <w:sz w:val="30"/>
          <w:szCs w:val="30"/>
        </w:rPr>
        <w:t>）旨在识别影响组织的事件并在组织的风险偏好范围内管理风险；（</w:t>
      </w:r>
      <w:r w:rsidRPr="00576185">
        <w:rPr>
          <w:sz w:val="30"/>
          <w:szCs w:val="30"/>
        </w:rPr>
        <w:t>6</w:t>
      </w:r>
      <w:r w:rsidRPr="00576185">
        <w:rPr>
          <w:sz w:val="30"/>
          <w:szCs w:val="30"/>
        </w:rPr>
        <w:t>）合理保证；（</w:t>
      </w:r>
      <w:r w:rsidRPr="00576185">
        <w:rPr>
          <w:sz w:val="30"/>
          <w:szCs w:val="30"/>
        </w:rPr>
        <w:t>7</w:t>
      </w:r>
      <w:r w:rsidRPr="00576185">
        <w:rPr>
          <w:sz w:val="30"/>
          <w:szCs w:val="30"/>
        </w:rPr>
        <w:t>）为了实现各类目标。</w:t>
      </w:r>
      <w:r w:rsidRPr="00576185">
        <w:rPr>
          <w:sz w:val="30"/>
          <w:szCs w:val="30"/>
        </w:rPr>
        <w:t>ERM</w:t>
      </w:r>
      <w:r w:rsidRPr="00576185">
        <w:rPr>
          <w:sz w:val="30"/>
          <w:szCs w:val="30"/>
        </w:rPr>
        <w:t>概念要细化的多。由于新</w:t>
      </w:r>
      <w:r w:rsidRPr="00576185">
        <w:rPr>
          <w:sz w:val="30"/>
          <w:szCs w:val="30"/>
        </w:rPr>
        <w:t>COSO</w:t>
      </w:r>
      <w:r w:rsidRPr="00576185">
        <w:rPr>
          <w:sz w:val="30"/>
          <w:szCs w:val="30"/>
        </w:rPr>
        <w:t>报告提出了风险偏好、风险容忍度等概念，使得</w:t>
      </w:r>
      <w:r w:rsidRPr="00576185">
        <w:rPr>
          <w:sz w:val="30"/>
          <w:szCs w:val="30"/>
        </w:rPr>
        <w:t>ERM</w:t>
      </w:r>
      <w:r w:rsidRPr="00576185">
        <w:rPr>
          <w:sz w:val="30"/>
          <w:szCs w:val="30"/>
        </w:rPr>
        <w:t>的定义更加明确、具体。同时，</w:t>
      </w:r>
      <w:r w:rsidRPr="00576185">
        <w:rPr>
          <w:sz w:val="30"/>
          <w:szCs w:val="30"/>
        </w:rPr>
        <w:t>ERM</w:t>
      </w:r>
      <w:r w:rsidRPr="00576185">
        <w:rPr>
          <w:sz w:val="30"/>
          <w:szCs w:val="30"/>
        </w:rPr>
        <w:t>又涵盖了内部控制所有合理的内容。</w:t>
      </w:r>
    </w:p>
    <w:p w:rsidR="00576185" w:rsidRPr="00576185" w:rsidRDefault="00576185" w:rsidP="00576185">
      <w:pPr>
        <w:rPr>
          <w:sz w:val="30"/>
          <w:szCs w:val="30"/>
        </w:rPr>
      </w:pPr>
      <w:r w:rsidRPr="00576185">
        <w:rPr>
          <w:sz w:val="30"/>
          <w:szCs w:val="30"/>
        </w:rPr>
        <w:t xml:space="preserve">    </w:t>
      </w:r>
      <w:r w:rsidRPr="00576185">
        <w:rPr>
          <w:sz w:val="30"/>
          <w:szCs w:val="30"/>
        </w:rPr>
        <w:t>新巴塞尔协议将对国际银行监管和许多银行的经营方式产生极为重要的影响。首先要指出，以三大要素</w:t>
      </w:r>
      <w:r w:rsidRPr="00576185">
        <w:rPr>
          <w:sz w:val="30"/>
          <w:szCs w:val="30"/>
        </w:rPr>
        <w:t>(</w:t>
      </w:r>
      <w:r w:rsidRPr="00576185">
        <w:rPr>
          <w:sz w:val="30"/>
          <w:szCs w:val="30"/>
        </w:rPr>
        <w:t>资本充足率、监管部门监督检查和市场纪律</w:t>
      </w:r>
      <w:r w:rsidRPr="00576185">
        <w:rPr>
          <w:sz w:val="30"/>
          <w:szCs w:val="30"/>
        </w:rPr>
        <w:t>)</w:t>
      </w:r>
      <w:r w:rsidRPr="00576185">
        <w:rPr>
          <w:sz w:val="30"/>
          <w:szCs w:val="30"/>
        </w:rPr>
        <w:t>为主要特点的新协议代表了资本监管的发展趋势和方向。同时使用这三项手段强化资本监管，以实现银行稳健经营的目标。然而，将三大要素有机结合在一起，并以监管规定的形式固定下来，要求监管部门认真实施。</w:t>
      </w:r>
    </w:p>
    <w:p w:rsidR="00576185" w:rsidRPr="00576185" w:rsidRDefault="00576185" w:rsidP="00576185">
      <w:pPr>
        <w:rPr>
          <w:sz w:val="30"/>
          <w:szCs w:val="30"/>
        </w:rPr>
      </w:pPr>
      <w:r w:rsidRPr="00576185">
        <w:rPr>
          <w:sz w:val="30"/>
          <w:szCs w:val="30"/>
        </w:rPr>
        <w:t xml:space="preserve">    </w:t>
      </w:r>
      <w:r w:rsidRPr="00576185">
        <w:rPr>
          <w:sz w:val="30"/>
          <w:szCs w:val="30"/>
        </w:rPr>
        <w:t>市场性风险是指由于市场因素（如证券价格、利率、汇率或商品价格等）的不确定性变动而遭受损失的可能性。</w:t>
      </w:r>
    </w:p>
    <w:p w:rsidR="00576185" w:rsidRPr="00576185" w:rsidRDefault="00576185" w:rsidP="00576185">
      <w:pPr>
        <w:rPr>
          <w:sz w:val="30"/>
          <w:szCs w:val="30"/>
        </w:rPr>
      </w:pPr>
      <w:r w:rsidRPr="00576185">
        <w:rPr>
          <w:sz w:val="30"/>
          <w:szCs w:val="30"/>
        </w:rPr>
        <w:t xml:space="preserve">   </w:t>
      </w:r>
      <w:r w:rsidRPr="00576185">
        <w:rPr>
          <w:sz w:val="30"/>
          <w:szCs w:val="30"/>
        </w:rPr>
        <w:t>操作性风险是指因操作流程不完善、人为过失、系统故障或失</w:t>
      </w:r>
      <w:r w:rsidRPr="00576185">
        <w:rPr>
          <w:sz w:val="30"/>
          <w:szCs w:val="30"/>
        </w:rPr>
        <w:lastRenderedPageBreak/>
        <w:t>误及外部事件造成损失的风险。它包括了内部欺诈、外部欺诈、就业政策和工作场所安全性、客户及产品和业务操作、业务中断或系统失败、内部流程管理等银行业所面临的风险。</w:t>
      </w:r>
    </w:p>
    <w:p w:rsidR="00576185" w:rsidRPr="00576185" w:rsidRDefault="00576185" w:rsidP="00576185">
      <w:pPr>
        <w:rPr>
          <w:sz w:val="30"/>
          <w:szCs w:val="30"/>
        </w:rPr>
      </w:pPr>
      <w:r w:rsidRPr="00576185">
        <w:rPr>
          <w:sz w:val="30"/>
          <w:szCs w:val="30"/>
        </w:rPr>
        <w:t xml:space="preserve">    </w:t>
      </w:r>
      <w:r w:rsidRPr="00576185">
        <w:rPr>
          <w:sz w:val="30"/>
          <w:szCs w:val="30"/>
        </w:rPr>
        <w:t>根据</w:t>
      </w:r>
      <w:r w:rsidRPr="00576185">
        <w:rPr>
          <w:sz w:val="30"/>
          <w:szCs w:val="30"/>
        </w:rPr>
        <w:t>COSO</w:t>
      </w:r>
      <w:r w:rsidRPr="00576185">
        <w:rPr>
          <w:sz w:val="30"/>
          <w:szCs w:val="30"/>
        </w:rPr>
        <w:t>报告的观点，内部控制能帮助一个企业达成其绩效及盈利目标，预防资源的损失，能帮助企业保证其财务信息可靠、遵循相关的法令，避免企业的名声受损及其他后果。总而言之，内部控制能帮助企业实现其目标，避免意外的发生。内部控制具有统合的作用，制约与激励作用及促进作用。恰当地运用内部控制，能促进财产安全管理和各种资源的有效使用；有利于提高会计及其他信息的可信性和可靠性；有利于减少不必要的开支，提高盈利水平，避免意外风险；有利预防和减少差错和舞弊行为；有利于保证授权和法定责任的完成。</w:t>
      </w:r>
    </w:p>
    <w:p w:rsidR="00576185" w:rsidRPr="00576185" w:rsidRDefault="00576185" w:rsidP="00576185">
      <w:pPr>
        <w:rPr>
          <w:sz w:val="30"/>
          <w:szCs w:val="30"/>
        </w:rPr>
      </w:pPr>
      <w:r w:rsidRPr="00576185">
        <w:rPr>
          <w:sz w:val="30"/>
          <w:szCs w:val="30"/>
        </w:rPr>
        <w:t xml:space="preserve">    </w:t>
      </w:r>
      <w:r w:rsidRPr="00576185">
        <w:rPr>
          <w:sz w:val="30"/>
          <w:szCs w:val="30"/>
        </w:rPr>
        <w:t>金融衍生产品交易的巨额损失源于其内在的风险属性，在杠杆效应和表外交易的共同作用下，这些风险存在倍数扩张的可能性，并带来金融的动荡和社会的不安，使</w:t>
      </w:r>
      <w:hyperlink r:id="rId8" w:tgtFrame="_blank" w:history="1">
        <w:r w:rsidRPr="00576185">
          <w:rPr>
            <w:rStyle w:val="a3"/>
            <w:sz w:val="30"/>
            <w:szCs w:val="30"/>
          </w:rPr>
          <w:t>监管</w:t>
        </w:r>
      </w:hyperlink>
      <w:r w:rsidRPr="00576185">
        <w:rPr>
          <w:sz w:val="30"/>
          <w:szCs w:val="30"/>
        </w:rPr>
        <w:t>部门难以监测和把握。衍生工具用户的风险包括信用风险、市场风险、流动性风险、经营风险和法律风险。但是，要想真正了解这些风险所在，必须关注各类金融衍生产品自身的风险特征。导致巴林银行倒闭的期货、期权交易带有很高的风险。相对于期货合约的价值而言，初始保证金的金额是比较小的，这样交易就被杠杆化了。即使市场上出现比较小的变动也会对您已经或将要存入的资金产生相对大的影响：这对您也许有利也许不利。您可能会为了保持您的头寸而</w:t>
      </w:r>
      <w:r w:rsidRPr="00576185">
        <w:rPr>
          <w:sz w:val="30"/>
          <w:szCs w:val="30"/>
        </w:rPr>
        <w:lastRenderedPageBreak/>
        <w:t>在您存入本人公司的初始保证金及任何追加资金上承受损失。如果市场变动对您不利或者保证金水平提高了，您有可能接到电话要您在短时间内支付相当数量的追加资金以便维持您的头寸。如果您不能在规定的时间内遵从追加资金的要求，您的头寸可能会在亏损的情况下被清盘，而您将必须对由此造成的亏空额负责。如果期权是以期货为基础的，出售者必须购入一项期货头寸及相应的保证金义务，如果期权已经通过出售者持有相关的标的商品头寸或另一种期货的方式被套期保值起来了，风险也许会被降低。如果期权没有被套期保值，遭受损失的风险可以是无限制的。</w:t>
      </w:r>
    </w:p>
    <w:p w:rsidR="00576185" w:rsidRPr="00576185" w:rsidRDefault="00576185" w:rsidP="00576185">
      <w:pPr>
        <w:rPr>
          <w:sz w:val="30"/>
          <w:szCs w:val="30"/>
        </w:rPr>
      </w:pPr>
      <w:r w:rsidRPr="00576185">
        <w:rPr>
          <w:b/>
          <w:bCs/>
          <w:sz w:val="30"/>
          <w:szCs w:val="30"/>
        </w:rPr>
        <w:t>三、案例概况</w:t>
      </w:r>
    </w:p>
    <w:p w:rsidR="00576185" w:rsidRPr="00576185" w:rsidRDefault="00576185" w:rsidP="00576185">
      <w:pPr>
        <w:rPr>
          <w:sz w:val="30"/>
          <w:szCs w:val="30"/>
        </w:rPr>
      </w:pPr>
      <w:r w:rsidRPr="00576185">
        <w:rPr>
          <w:sz w:val="30"/>
          <w:szCs w:val="30"/>
        </w:rPr>
        <w:t xml:space="preserve">   </w:t>
      </w:r>
      <w:r w:rsidRPr="00576185">
        <w:rPr>
          <w:sz w:val="30"/>
          <w:szCs w:val="30"/>
        </w:rPr>
        <w:t>里森于</w:t>
      </w:r>
      <w:r w:rsidRPr="00576185">
        <w:rPr>
          <w:sz w:val="30"/>
          <w:szCs w:val="30"/>
        </w:rPr>
        <w:t>1989</w:t>
      </w:r>
      <w:r w:rsidRPr="00576185">
        <w:rPr>
          <w:sz w:val="30"/>
          <w:szCs w:val="30"/>
        </w:rPr>
        <w:t>年</w:t>
      </w:r>
      <w:r w:rsidRPr="00576185">
        <w:rPr>
          <w:sz w:val="30"/>
          <w:szCs w:val="30"/>
        </w:rPr>
        <w:t>7</w:t>
      </w:r>
      <w:r w:rsidRPr="00576185">
        <w:rPr>
          <w:sz w:val="30"/>
          <w:szCs w:val="30"/>
        </w:rPr>
        <w:t>月</w:t>
      </w:r>
      <w:r w:rsidRPr="00576185">
        <w:rPr>
          <w:sz w:val="30"/>
          <w:szCs w:val="30"/>
        </w:rPr>
        <w:t>10</w:t>
      </w:r>
      <w:r w:rsidRPr="00576185">
        <w:rPr>
          <w:sz w:val="30"/>
          <w:szCs w:val="30"/>
        </w:rPr>
        <w:t>日正式到巴林银行工作。这之前，他是摩根</w:t>
      </w:r>
      <w:r w:rsidRPr="00576185">
        <w:rPr>
          <w:sz w:val="30"/>
          <w:szCs w:val="30"/>
        </w:rPr>
        <w:t>·</w:t>
      </w:r>
      <w:r w:rsidRPr="00576185">
        <w:rPr>
          <w:sz w:val="30"/>
          <w:szCs w:val="30"/>
        </w:rPr>
        <w:t>斯坦利银行清算部的一名职员，进入巴林银行后，他很快争取到了到印尼分部工作的机会。由于他富有耐心和毅力，善于逻辑推理，能很快地解决以前未能解决许多问题。使工作有了起色。因此，他被视为期货与期权结算方面的专家，</w:t>
      </w:r>
      <w:r w:rsidRPr="00576185">
        <w:rPr>
          <w:sz w:val="30"/>
          <w:szCs w:val="30"/>
        </w:rPr>
        <w:t xml:space="preserve"> 1992</w:t>
      </w:r>
      <w:r w:rsidRPr="00576185">
        <w:rPr>
          <w:sz w:val="30"/>
          <w:szCs w:val="30"/>
        </w:rPr>
        <w:t>年，巴林总部决定派他到新加坡分行成立期货与期权交易部门，并出任总经理。</w:t>
      </w:r>
      <w:r w:rsidRPr="00576185">
        <w:rPr>
          <w:sz w:val="30"/>
          <w:szCs w:val="30"/>
        </w:rPr>
        <w:br/>
        <w:t xml:space="preserve">    </w:t>
      </w:r>
      <w:r w:rsidRPr="00576185">
        <w:rPr>
          <w:sz w:val="30"/>
          <w:szCs w:val="30"/>
        </w:rPr>
        <w:t>里森</w:t>
      </w:r>
      <w:r w:rsidRPr="00576185">
        <w:rPr>
          <w:sz w:val="30"/>
          <w:szCs w:val="30"/>
        </w:rPr>
        <w:t>1992</w:t>
      </w:r>
      <w:r w:rsidRPr="00576185">
        <w:rPr>
          <w:sz w:val="30"/>
          <w:szCs w:val="30"/>
        </w:rPr>
        <w:t>年夏天，伦敦总部要求</w:t>
      </w:r>
      <w:proofErr w:type="gramStart"/>
      <w:r w:rsidRPr="00576185">
        <w:rPr>
          <w:sz w:val="30"/>
          <w:szCs w:val="30"/>
        </w:rPr>
        <w:t>里森另设立</w:t>
      </w:r>
      <w:proofErr w:type="gramEnd"/>
      <w:r w:rsidRPr="00576185">
        <w:rPr>
          <w:sz w:val="30"/>
          <w:szCs w:val="30"/>
        </w:rPr>
        <w:t>一个</w:t>
      </w:r>
      <w:r w:rsidRPr="00576185">
        <w:rPr>
          <w:sz w:val="30"/>
          <w:szCs w:val="30"/>
        </w:rPr>
        <w:t>“</w:t>
      </w:r>
      <w:r w:rsidRPr="00576185">
        <w:rPr>
          <w:sz w:val="30"/>
          <w:szCs w:val="30"/>
        </w:rPr>
        <w:t>错误</w:t>
      </w:r>
      <w:proofErr w:type="gramStart"/>
      <w:r w:rsidRPr="00576185">
        <w:rPr>
          <w:sz w:val="30"/>
          <w:szCs w:val="30"/>
        </w:rPr>
        <w:t>帐户</w:t>
      </w:r>
      <w:proofErr w:type="gramEnd"/>
      <w:r w:rsidRPr="00576185">
        <w:rPr>
          <w:sz w:val="30"/>
          <w:szCs w:val="30"/>
        </w:rPr>
        <w:t>”</w:t>
      </w:r>
      <w:r w:rsidRPr="00576185">
        <w:rPr>
          <w:sz w:val="30"/>
          <w:szCs w:val="30"/>
        </w:rPr>
        <w:t>，记录较小的错误，并自行在新加坡处理，于是里</w:t>
      </w:r>
      <w:proofErr w:type="gramStart"/>
      <w:r w:rsidRPr="00576185">
        <w:rPr>
          <w:sz w:val="30"/>
          <w:szCs w:val="30"/>
        </w:rPr>
        <w:t>森建立</w:t>
      </w:r>
      <w:proofErr w:type="gramEnd"/>
      <w:r w:rsidRPr="00576185">
        <w:rPr>
          <w:sz w:val="30"/>
          <w:szCs w:val="30"/>
        </w:rPr>
        <w:t>了</w:t>
      </w:r>
      <w:proofErr w:type="gramStart"/>
      <w:r w:rsidRPr="00576185">
        <w:rPr>
          <w:sz w:val="30"/>
          <w:szCs w:val="30"/>
        </w:rPr>
        <w:t>帐号</w:t>
      </w:r>
      <w:proofErr w:type="gramEnd"/>
      <w:r w:rsidRPr="00576185">
        <w:rPr>
          <w:sz w:val="30"/>
          <w:szCs w:val="30"/>
        </w:rPr>
        <w:t>为</w:t>
      </w:r>
      <w:r w:rsidRPr="00576185">
        <w:rPr>
          <w:sz w:val="30"/>
          <w:szCs w:val="30"/>
        </w:rPr>
        <w:t>“88888”</w:t>
      </w:r>
      <w:r w:rsidRPr="00576185">
        <w:rPr>
          <w:sz w:val="30"/>
          <w:szCs w:val="30"/>
        </w:rPr>
        <w:t>的</w:t>
      </w:r>
      <w:r w:rsidRPr="00576185">
        <w:rPr>
          <w:sz w:val="30"/>
          <w:szCs w:val="30"/>
        </w:rPr>
        <w:t>“</w:t>
      </w:r>
      <w:r w:rsidRPr="00576185">
        <w:rPr>
          <w:sz w:val="30"/>
          <w:szCs w:val="30"/>
        </w:rPr>
        <w:t>错误</w:t>
      </w:r>
      <w:proofErr w:type="gramStart"/>
      <w:r w:rsidRPr="00576185">
        <w:rPr>
          <w:sz w:val="30"/>
          <w:szCs w:val="30"/>
        </w:rPr>
        <w:t>帐户</w:t>
      </w:r>
      <w:proofErr w:type="gramEnd"/>
      <w:r w:rsidRPr="00576185">
        <w:rPr>
          <w:sz w:val="30"/>
          <w:szCs w:val="30"/>
        </w:rPr>
        <w:t>”</w:t>
      </w:r>
      <w:r w:rsidRPr="00576185">
        <w:rPr>
          <w:sz w:val="30"/>
          <w:szCs w:val="30"/>
        </w:rPr>
        <w:t>。几周之后，伦敦总部又要求所有的错误</w:t>
      </w:r>
      <w:proofErr w:type="gramStart"/>
      <w:r w:rsidRPr="00576185">
        <w:rPr>
          <w:sz w:val="30"/>
          <w:szCs w:val="30"/>
        </w:rPr>
        <w:t>记录仍</w:t>
      </w:r>
      <w:proofErr w:type="gramEnd"/>
      <w:r w:rsidRPr="00576185">
        <w:rPr>
          <w:sz w:val="30"/>
          <w:szCs w:val="30"/>
        </w:rPr>
        <w:t>由</w:t>
      </w:r>
      <w:r w:rsidRPr="00576185">
        <w:rPr>
          <w:sz w:val="30"/>
          <w:szCs w:val="30"/>
        </w:rPr>
        <w:t>“99905”</w:t>
      </w:r>
      <w:proofErr w:type="gramStart"/>
      <w:r w:rsidRPr="00576185">
        <w:rPr>
          <w:sz w:val="30"/>
          <w:szCs w:val="30"/>
        </w:rPr>
        <w:t>帐户</w:t>
      </w:r>
      <w:proofErr w:type="gramEnd"/>
      <w:r w:rsidRPr="00576185">
        <w:rPr>
          <w:sz w:val="30"/>
          <w:szCs w:val="30"/>
        </w:rPr>
        <w:t>直接向伦敦报告。</w:t>
      </w:r>
      <w:r w:rsidRPr="00576185">
        <w:rPr>
          <w:sz w:val="30"/>
          <w:szCs w:val="30"/>
        </w:rPr>
        <w:t>1992</w:t>
      </w:r>
      <w:r w:rsidRPr="00576185">
        <w:rPr>
          <w:sz w:val="30"/>
          <w:szCs w:val="30"/>
        </w:rPr>
        <w:t>年</w:t>
      </w:r>
      <w:r w:rsidRPr="00576185">
        <w:rPr>
          <w:sz w:val="30"/>
          <w:szCs w:val="30"/>
        </w:rPr>
        <w:t>7</w:t>
      </w:r>
      <w:r w:rsidRPr="00576185">
        <w:rPr>
          <w:sz w:val="30"/>
          <w:szCs w:val="30"/>
        </w:rPr>
        <w:t>月里森手下一名加入巴林仅一星期的交易员犯了一个错误，这个错误至当日的</w:t>
      </w:r>
      <w:r w:rsidRPr="00576185">
        <w:rPr>
          <w:sz w:val="30"/>
          <w:szCs w:val="30"/>
        </w:rPr>
        <w:lastRenderedPageBreak/>
        <w:t>收盘价计算，其损失为</w:t>
      </w:r>
      <w:r w:rsidRPr="00576185">
        <w:rPr>
          <w:sz w:val="30"/>
          <w:szCs w:val="30"/>
        </w:rPr>
        <w:t>2</w:t>
      </w:r>
      <w:r w:rsidRPr="00576185">
        <w:rPr>
          <w:sz w:val="30"/>
          <w:szCs w:val="30"/>
        </w:rPr>
        <w:t>万英镑。并应报告伦敦总公司。但在种种考虑下，里森决定利用错误</w:t>
      </w:r>
      <w:proofErr w:type="gramStart"/>
      <w:r w:rsidRPr="00576185">
        <w:rPr>
          <w:sz w:val="30"/>
          <w:szCs w:val="30"/>
        </w:rPr>
        <w:t>帐户</w:t>
      </w:r>
      <w:proofErr w:type="gramEnd"/>
      <w:r w:rsidRPr="00576185">
        <w:rPr>
          <w:sz w:val="30"/>
          <w:szCs w:val="30"/>
        </w:rPr>
        <w:t>“88888”</w:t>
      </w:r>
      <w:r w:rsidRPr="00576185">
        <w:rPr>
          <w:sz w:val="30"/>
          <w:szCs w:val="30"/>
        </w:rPr>
        <w:t>以掩盖这个失误。数天之后，损失便由</w:t>
      </w:r>
      <w:r w:rsidRPr="00576185">
        <w:rPr>
          <w:sz w:val="30"/>
          <w:szCs w:val="30"/>
        </w:rPr>
        <w:t>2</w:t>
      </w:r>
      <w:r w:rsidRPr="00576185">
        <w:rPr>
          <w:sz w:val="30"/>
          <w:szCs w:val="30"/>
        </w:rPr>
        <w:t>万英镑增为</w:t>
      </w:r>
      <w:r w:rsidRPr="00576185">
        <w:rPr>
          <w:sz w:val="30"/>
          <w:szCs w:val="30"/>
        </w:rPr>
        <w:t>6</w:t>
      </w:r>
      <w:r w:rsidRPr="00576185">
        <w:rPr>
          <w:sz w:val="30"/>
          <w:szCs w:val="30"/>
        </w:rPr>
        <w:t>万英镑了。另外，里森的好友及委托执行人将里森示意他卖出的</w:t>
      </w:r>
      <w:r w:rsidRPr="00576185">
        <w:rPr>
          <w:sz w:val="30"/>
          <w:szCs w:val="30"/>
        </w:rPr>
        <w:t>100</w:t>
      </w:r>
      <w:r w:rsidRPr="00576185">
        <w:rPr>
          <w:sz w:val="30"/>
          <w:szCs w:val="30"/>
        </w:rPr>
        <w:t>份九月的期货全被他买进，价值高达</w:t>
      </w:r>
      <w:r w:rsidRPr="00576185">
        <w:rPr>
          <w:sz w:val="30"/>
          <w:szCs w:val="30"/>
        </w:rPr>
        <w:t>800</w:t>
      </w:r>
      <w:r w:rsidRPr="00576185">
        <w:rPr>
          <w:sz w:val="30"/>
          <w:szCs w:val="30"/>
        </w:rPr>
        <w:t>万英镑，里森</w:t>
      </w:r>
      <w:proofErr w:type="gramStart"/>
      <w:r w:rsidRPr="00576185">
        <w:rPr>
          <w:sz w:val="30"/>
          <w:szCs w:val="30"/>
        </w:rPr>
        <w:t>将乔治出现</w:t>
      </w:r>
      <w:proofErr w:type="gramEnd"/>
      <w:r w:rsidRPr="00576185">
        <w:rPr>
          <w:sz w:val="30"/>
          <w:szCs w:val="30"/>
        </w:rPr>
        <w:t>的几次错误记入</w:t>
      </w:r>
      <w:r w:rsidRPr="00576185">
        <w:rPr>
          <w:sz w:val="30"/>
          <w:szCs w:val="30"/>
        </w:rPr>
        <w:t>“88888</w:t>
      </w:r>
      <w:proofErr w:type="gramStart"/>
      <w:r w:rsidRPr="00576185">
        <w:rPr>
          <w:sz w:val="30"/>
          <w:szCs w:val="30"/>
        </w:rPr>
        <w:t>帐号</w:t>
      </w:r>
      <w:proofErr w:type="gramEnd"/>
      <w:r w:rsidRPr="00576185">
        <w:rPr>
          <w:sz w:val="30"/>
          <w:szCs w:val="30"/>
        </w:rPr>
        <w:t>”</w:t>
      </w:r>
      <w:r w:rsidRPr="00576185">
        <w:rPr>
          <w:sz w:val="30"/>
          <w:szCs w:val="30"/>
        </w:rPr>
        <w:t>。为了赚回足够的钱来补偿所有损失，里</w:t>
      </w:r>
      <w:proofErr w:type="gramStart"/>
      <w:r w:rsidRPr="00576185">
        <w:rPr>
          <w:sz w:val="30"/>
          <w:szCs w:val="30"/>
        </w:rPr>
        <w:t>森承担</w:t>
      </w:r>
      <w:proofErr w:type="gramEnd"/>
      <w:r w:rsidRPr="00576185">
        <w:rPr>
          <w:sz w:val="30"/>
          <w:szCs w:val="30"/>
        </w:rPr>
        <w:t>愈来愈大的风险，他当时从事大量跨式部位交易，因为当时日经指数稳定，里森从此交易中赚取期权权利金。若运气不好，日经指数变动剧烈，此交易将使</w:t>
      </w:r>
      <w:proofErr w:type="gramStart"/>
      <w:r w:rsidRPr="00576185">
        <w:rPr>
          <w:sz w:val="30"/>
          <w:szCs w:val="30"/>
        </w:rPr>
        <w:t>巴林随极大</w:t>
      </w:r>
      <w:proofErr w:type="gramEnd"/>
      <w:r w:rsidRPr="00576185">
        <w:rPr>
          <w:sz w:val="30"/>
          <w:szCs w:val="30"/>
        </w:rPr>
        <w:t>损失。在</w:t>
      </w:r>
      <w:r w:rsidRPr="00576185">
        <w:rPr>
          <w:sz w:val="30"/>
          <w:szCs w:val="30"/>
        </w:rPr>
        <w:t>1993</w:t>
      </w:r>
      <w:r w:rsidRPr="00576185">
        <w:rPr>
          <w:sz w:val="30"/>
          <w:szCs w:val="30"/>
        </w:rPr>
        <w:t>年下旬，用于清算记录的电脑屏幕故障频繁，无数笔的交易</w:t>
      </w:r>
      <w:proofErr w:type="gramStart"/>
      <w:r w:rsidRPr="00576185">
        <w:rPr>
          <w:sz w:val="30"/>
          <w:szCs w:val="30"/>
        </w:rPr>
        <w:t>入帐</w:t>
      </w:r>
      <w:proofErr w:type="gramEnd"/>
      <w:r w:rsidRPr="00576185">
        <w:rPr>
          <w:sz w:val="30"/>
          <w:szCs w:val="30"/>
        </w:rPr>
        <w:t>工作都积压起来。因为系统无法正常工作，交易记录都靠人力，等到发现各种错误时，里森在一天之内的损失便已高达将近</w:t>
      </w:r>
      <w:r w:rsidRPr="00576185">
        <w:rPr>
          <w:sz w:val="30"/>
          <w:szCs w:val="30"/>
        </w:rPr>
        <w:t>170</w:t>
      </w:r>
      <w:r w:rsidRPr="00576185">
        <w:rPr>
          <w:sz w:val="30"/>
          <w:szCs w:val="30"/>
        </w:rPr>
        <w:t>万美元。在无路可走的情况下，里森决定继续隐藏这些失误。</w:t>
      </w:r>
      <w:r w:rsidRPr="00576185">
        <w:rPr>
          <w:sz w:val="30"/>
          <w:szCs w:val="30"/>
        </w:rPr>
        <w:br/>
        <w:t>    1994</w:t>
      </w:r>
      <w:r w:rsidRPr="00576185">
        <w:rPr>
          <w:sz w:val="30"/>
          <w:szCs w:val="30"/>
        </w:rPr>
        <w:t>年，里森对损失的金额已经麻木了，</w:t>
      </w:r>
      <w:r w:rsidRPr="00576185">
        <w:rPr>
          <w:sz w:val="30"/>
          <w:szCs w:val="30"/>
        </w:rPr>
        <w:t>88888</w:t>
      </w:r>
      <w:r w:rsidRPr="00576185">
        <w:rPr>
          <w:sz w:val="30"/>
          <w:szCs w:val="30"/>
        </w:rPr>
        <w:t>号</w:t>
      </w:r>
      <w:proofErr w:type="gramStart"/>
      <w:r w:rsidRPr="00576185">
        <w:rPr>
          <w:sz w:val="30"/>
          <w:szCs w:val="30"/>
        </w:rPr>
        <w:t>帐户</w:t>
      </w:r>
      <w:proofErr w:type="gramEnd"/>
      <w:r w:rsidRPr="00576185">
        <w:rPr>
          <w:sz w:val="30"/>
          <w:szCs w:val="30"/>
        </w:rPr>
        <w:t>的损失，由</w:t>
      </w:r>
      <w:r w:rsidRPr="00576185">
        <w:rPr>
          <w:sz w:val="30"/>
          <w:szCs w:val="30"/>
        </w:rPr>
        <w:t>2000</w:t>
      </w:r>
      <w:r w:rsidRPr="00576185">
        <w:rPr>
          <w:sz w:val="30"/>
          <w:szCs w:val="30"/>
        </w:rPr>
        <w:t>万、</w:t>
      </w:r>
      <w:r w:rsidRPr="00576185">
        <w:rPr>
          <w:sz w:val="30"/>
          <w:szCs w:val="30"/>
        </w:rPr>
        <w:t>3000</w:t>
      </w:r>
      <w:r w:rsidRPr="00576185">
        <w:rPr>
          <w:sz w:val="30"/>
          <w:szCs w:val="30"/>
        </w:rPr>
        <w:t>万英镑，到</w:t>
      </w:r>
      <w:r w:rsidRPr="00576185">
        <w:rPr>
          <w:sz w:val="30"/>
          <w:szCs w:val="30"/>
        </w:rPr>
        <w:t>7</w:t>
      </w:r>
      <w:r w:rsidRPr="00576185">
        <w:rPr>
          <w:sz w:val="30"/>
          <w:szCs w:val="30"/>
        </w:rPr>
        <w:t>月已达</w:t>
      </w:r>
      <w:r w:rsidRPr="00576185">
        <w:rPr>
          <w:sz w:val="30"/>
          <w:szCs w:val="30"/>
        </w:rPr>
        <w:t>5000</w:t>
      </w:r>
      <w:r w:rsidRPr="00576185">
        <w:rPr>
          <w:sz w:val="30"/>
          <w:szCs w:val="30"/>
        </w:rPr>
        <w:t>万英镑。事实上，里森当时所作的许多交易，是在被市场走势牵着鼻子走，并非出于他对市场的预期如何。他已成为被其风险部位操作的傀儡。他当时能想的，是哪一种方向的市场变动会使他反败为胜，能补足</w:t>
      </w:r>
      <w:r w:rsidRPr="00576185">
        <w:rPr>
          <w:sz w:val="30"/>
          <w:szCs w:val="30"/>
        </w:rPr>
        <w:t>88888</w:t>
      </w:r>
      <w:r w:rsidRPr="00576185">
        <w:rPr>
          <w:sz w:val="30"/>
          <w:szCs w:val="30"/>
        </w:rPr>
        <w:t>号帐的亏损，便试着影响市场往那个方向变动。里森越亏越多，眼睁睁地看着</w:t>
      </w:r>
      <w:r w:rsidRPr="00576185">
        <w:rPr>
          <w:sz w:val="30"/>
          <w:szCs w:val="30"/>
        </w:rPr>
        <w:t>10</w:t>
      </w:r>
      <w:r w:rsidRPr="00576185">
        <w:rPr>
          <w:sz w:val="30"/>
          <w:szCs w:val="30"/>
        </w:rPr>
        <w:t>亿美元化为乌有，而且整个巴林银行的资本和储备金只有</w:t>
      </w:r>
      <w:r w:rsidRPr="00576185">
        <w:rPr>
          <w:sz w:val="30"/>
          <w:szCs w:val="30"/>
        </w:rPr>
        <w:t>8.6</w:t>
      </w:r>
      <w:r w:rsidRPr="00576185">
        <w:rPr>
          <w:sz w:val="30"/>
          <w:szCs w:val="30"/>
        </w:rPr>
        <w:t>亿美元。尽管英格兰银行采取了一系列的拯救措施，但都失败了。更具有讽刺意味的是，在巴林破产的</w:t>
      </w:r>
      <w:r w:rsidRPr="00576185">
        <w:rPr>
          <w:sz w:val="30"/>
          <w:szCs w:val="30"/>
        </w:rPr>
        <w:lastRenderedPageBreak/>
        <w:t>两个月前，巴林金融成果会议上，还将里森当成巴林的英雄；</w:t>
      </w:r>
      <w:r w:rsidRPr="00576185">
        <w:rPr>
          <w:sz w:val="30"/>
          <w:szCs w:val="30"/>
        </w:rPr>
        <w:t>1995</w:t>
      </w:r>
      <w:r w:rsidRPr="00576185">
        <w:rPr>
          <w:sz w:val="30"/>
          <w:szCs w:val="30"/>
        </w:rPr>
        <w:t>年</w:t>
      </w:r>
      <w:r w:rsidRPr="00576185">
        <w:rPr>
          <w:sz w:val="30"/>
          <w:szCs w:val="30"/>
        </w:rPr>
        <w:t>2</w:t>
      </w:r>
      <w:r w:rsidRPr="00576185">
        <w:rPr>
          <w:sz w:val="30"/>
          <w:szCs w:val="30"/>
        </w:rPr>
        <w:t>月</w:t>
      </w:r>
      <w:r w:rsidRPr="00576185">
        <w:rPr>
          <w:sz w:val="30"/>
          <w:szCs w:val="30"/>
        </w:rPr>
        <w:t>23</w:t>
      </w:r>
      <w:r w:rsidRPr="00576185">
        <w:rPr>
          <w:sz w:val="30"/>
          <w:szCs w:val="30"/>
        </w:rPr>
        <w:t>日，在巴林期货的最后一日，里森对影响市场走向的努力彻底失败，终于达到了</w:t>
      </w:r>
      <w:r w:rsidRPr="00576185">
        <w:rPr>
          <w:sz w:val="30"/>
          <w:szCs w:val="30"/>
        </w:rPr>
        <w:t>86000</w:t>
      </w:r>
      <w:r w:rsidRPr="00576185">
        <w:rPr>
          <w:sz w:val="30"/>
          <w:szCs w:val="30"/>
        </w:rPr>
        <w:t>万英镑的高点，造成了世界上最老牌的巴林银行终结的命运。</w:t>
      </w:r>
    </w:p>
    <w:p w:rsidR="00576185" w:rsidRPr="00576185" w:rsidRDefault="00576185" w:rsidP="00576185">
      <w:pPr>
        <w:rPr>
          <w:sz w:val="30"/>
          <w:szCs w:val="30"/>
        </w:rPr>
      </w:pPr>
      <w:r w:rsidRPr="00576185">
        <w:rPr>
          <w:b/>
          <w:bCs/>
          <w:sz w:val="30"/>
          <w:szCs w:val="30"/>
        </w:rPr>
        <w:t> </w:t>
      </w:r>
    </w:p>
    <w:p w:rsidR="00576185" w:rsidRPr="00576185" w:rsidRDefault="00576185" w:rsidP="00576185">
      <w:pPr>
        <w:rPr>
          <w:sz w:val="30"/>
          <w:szCs w:val="30"/>
        </w:rPr>
      </w:pPr>
      <w:r w:rsidRPr="00576185">
        <w:rPr>
          <w:b/>
          <w:bCs/>
          <w:sz w:val="30"/>
          <w:szCs w:val="30"/>
        </w:rPr>
        <w:t>四、案例分析</w:t>
      </w:r>
    </w:p>
    <w:p w:rsidR="00576185" w:rsidRPr="00576185" w:rsidRDefault="00576185" w:rsidP="00576185">
      <w:pPr>
        <w:rPr>
          <w:sz w:val="30"/>
          <w:szCs w:val="30"/>
        </w:rPr>
      </w:pPr>
      <w:r w:rsidRPr="00576185">
        <w:rPr>
          <w:b/>
          <w:bCs/>
          <w:sz w:val="30"/>
          <w:szCs w:val="30"/>
        </w:rPr>
        <w:t>(</w:t>
      </w:r>
      <w:proofErr w:type="gramStart"/>
      <w:r w:rsidRPr="00576185">
        <w:rPr>
          <w:b/>
          <w:bCs/>
          <w:sz w:val="30"/>
          <w:szCs w:val="30"/>
        </w:rPr>
        <w:t>一</w:t>
      </w:r>
      <w:proofErr w:type="gramEnd"/>
      <w:r w:rsidRPr="00576185">
        <w:rPr>
          <w:b/>
          <w:bCs/>
          <w:sz w:val="30"/>
          <w:szCs w:val="30"/>
        </w:rPr>
        <w:t>)</w:t>
      </w:r>
      <w:r w:rsidRPr="00576185">
        <w:rPr>
          <w:b/>
          <w:bCs/>
          <w:sz w:val="30"/>
          <w:szCs w:val="30"/>
        </w:rPr>
        <w:t>巴林银行面临的主要风险</w:t>
      </w:r>
    </w:p>
    <w:p w:rsidR="00576185" w:rsidRPr="00576185" w:rsidRDefault="00576185" w:rsidP="00576185">
      <w:pPr>
        <w:rPr>
          <w:sz w:val="30"/>
          <w:szCs w:val="30"/>
        </w:rPr>
      </w:pPr>
      <w:r w:rsidRPr="00576185">
        <w:rPr>
          <w:sz w:val="30"/>
          <w:szCs w:val="30"/>
        </w:rPr>
        <w:t>1</w:t>
      </w:r>
      <w:r w:rsidRPr="00576185">
        <w:rPr>
          <w:sz w:val="30"/>
          <w:szCs w:val="30"/>
        </w:rPr>
        <w:t>、市场性风险。金融衍生产品像一把</w:t>
      </w:r>
      <w:r w:rsidRPr="00576185">
        <w:rPr>
          <w:sz w:val="30"/>
          <w:szCs w:val="30"/>
        </w:rPr>
        <w:t>“</w:t>
      </w:r>
      <w:r w:rsidRPr="00576185">
        <w:rPr>
          <w:sz w:val="30"/>
          <w:szCs w:val="30"/>
        </w:rPr>
        <w:t>双刃剑</w:t>
      </w:r>
      <w:r w:rsidRPr="00576185">
        <w:rPr>
          <w:sz w:val="30"/>
          <w:szCs w:val="30"/>
        </w:rPr>
        <w:t>”</w:t>
      </w:r>
      <w:r w:rsidRPr="00576185">
        <w:rPr>
          <w:sz w:val="30"/>
          <w:szCs w:val="30"/>
        </w:rPr>
        <w:t>，它既是风险管理工具，把商业银行所面临的利率、汇率等风险通过市场转移出去，也可以把它作为冒险的筹码，寄希望于赚取巨额利润。如果控制不当，这种投机行为就会招致不可估量的损失。</w:t>
      </w:r>
      <w:r w:rsidRPr="00576185">
        <w:rPr>
          <w:sz w:val="30"/>
          <w:szCs w:val="30"/>
        </w:rPr>
        <w:t>20</w:t>
      </w:r>
      <w:r w:rsidRPr="00576185">
        <w:rPr>
          <w:sz w:val="30"/>
          <w:szCs w:val="30"/>
        </w:rPr>
        <w:t>世纪</w:t>
      </w:r>
      <w:r w:rsidRPr="00576185">
        <w:rPr>
          <w:sz w:val="30"/>
          <w:szCs w:val="30"/>
        </w:rPr>
        <w:t>80</w:t>
      </w:r>
      <w:r w:rsidRPr="00576185">
        <w:rPr>
          <w:sz w:val="30"/>
          <w:szCs w:val="30"/>
        </w:rPr>
        <w:t>年代中期，一些国家的金融主管机构便发现当时的金融法律和规范不能有效地约束金融衍生产品的交易行为。更重要的是，某些金融衍生产品设计的目的，便是规避法律上的约束，以降低其交易成本，开拓更大的市场空间。但</w:t>
      </w:r>
      <w:r w:rsidRPr="00576185">
        <w:rPr>
          <w:sz w:val="30"/>
          <w:szCs w:val="30"/>
        </w:rPr>
        <w:t>“</w:t>
      </w:r>
      <w:r w:rsidRPr="00576185">
        <w:rPr>
          <w:sz w:val="30"/>
          <w:szCs w:val="30"/>
        </w:rPr>
        <w:t>素以经营保守名声卓著</w:t>
      </w:r>
      <w:r w:rsidRPr="00576185">
        <w:rPr>
          <w:sz w:val="30"/>
          <w:szCs w:val="30"/>
        </w:rPr>
        <w:t>”</w:t>
      </w:r>
      <w:r w:rsidRPr="00576185">
        <w:rPr>
          <w:sz w:val="30"/>
          <w:szCs w:val="30"/>
        </w:rPr>
        <w:t>的巴林银行，其高层在</w:t>
      </w:r>
      <w:proofErr w:type="gramStart"/>
      <w:r w:rsidRPr="00576185">
        <w:rPr>
          <w:sz w:val="30"/>
          <w:szCs w:val="30"/>
        </w:rPr>
        <w:t>面对里</w:t>
      </w:r>
      <w:proofErr w:type="gramEnd"/>
      <w:r w:rsidRPr="00576185">
        <w:rPr>
          <w:sz w:val="30"/>
          <w:szCs w:val="30"/>
        </w:rPr>
        <w:t>森所假造出的高额获利面前，没有看到变幻莫测的金融衍生产品市场中蕴藏的巨大风险，相反却认为</w:t>
      </w:r>
      <w:r w:rsidRPr="00576185">
        <w:rPr>
          <w:sz w:val="30"/>
          <w:szCs w:val="30"/>
        </w:rPr>
        <w:t>“</w:t>
      </w:r>
      <w:r w:rsidRPr="00576185">
        <w:rPr>
          <w:sz w:val="30"/>
          <w:szCs w:val="30"/>
        </w:rPr>
        <w:t>赚钱是令人惊异地简单</w:t>
      </w:r>
      <w:r w:rsidRPr="00576185">
        <w:rPr>
          <w:sz w:val="30"/>
          <w:szCs w:val="30"/>
        </w:rPr>
        <w:t>”</w:t>
      </w:r>
      <w:r w:rsidRPr="00576185">
        <w:rPr>
          <w:sz w:val="30"/>
          <w:szCs w:val="30"/>
        </w:rPr>
        <w:t>。结果造成了难以挽回的悲剧。里森对金融衍生产品的操作无度使巴林银行成为了牺牲品。</w:t>
      </w:r>
    </w:p>
    <w:p w:rsidR="00576185" w:rsidRPr="00576185" w:rsidRDefault="00576185" w:rsidP="00576185">
      <w:pPr>
        <w:rPr>
          <w:sz w:val="30"/>
          <w:szCs w:val="30"/>
        </w:rPr>
      </w:pPr>
      <w:r w:rsidRPr="00576185">
        <w:rPr>
          <w:sz w:val="30"/>
          <w:szCs w:val="30"/>
        </w:rPr>
        <w:t>2</w:t>
      </w:r>
      <w:r w:rsidRPr="00576185">
        <w:rPr>
          <w:sz w:val="30"/>
          <w:szCs w:val="30"/>
        </w:rPr>
        <w:t>、操作性风险。在新加坡分行，里森既是清算部负责人，又是交易部负责人，一身二职，由此他开设</w:t>
      </w:r>
      <w:r w:rsidRPr="00576185">
        <w:rPr>
          <w:sz w:val="30"/>
          <w:szCs w:val="30"/>
        </w:rPr>
        <w:t>“88888”</w:t>
      </w:r>
      <w:r w:rsidRPr="00576185">
        <w:rPr>
          <w:sz w:val="30"/>
          <w:szCs w:val="30"/>
        </w:rPr>
        <w:t>错误</w:t>
      </w:r>
      <w:proofErr w:type="gramStart"/>
      <w:r w:rsidRPr="00576185">
        <w:rPr>
          <w:sz w:val="30"/>
          <w:szCs w:val="30"/>
        </w:rPr>
        <w:t>帐户</w:t>
      </w:r>
      <w:proofErr w:type="gramEnd"/>
      <w:r w:rsidRPr="00576185">
        <w:rPr>
          <w:sz w:val="30"/>
          <w:szCs w:val="30"/>
        </w:rPr>
        <w:t>，运用把亏损放入</w:t>
      </w:r>
      <w:r w:rsidRPr="00576185">
        <w:rPr>
          <w:sz w:val="30"/>
          <w:szCs w:val="30"/>
        </w:rPr>
        <w:t>“88888”</w:t>
      </w:r>
      <w:proofErr w:type="gramStart"/>
      <w:r w:rsidRPr="00576185">
        <w:rPr>
          <w:sz w:val="30"/>
          <w:szCs w:val="30"/>
        </w:rPr>
        <w:t>帐户</w:t>
      </w:r>
      <w:proofErr w:type="gramEnd"/>
      <w:r w:rsidRPr="00576185">
        <w:rPr>
          <w:sz w:val="30"/>
          <w:szCs w:val="30"/>
        </w:rPr>
        <w:t>的伎俩，替其他经授权的套利</w:t>
      </w:r>
      <w:proofErr w:type="gramStart"/>
      <w:r w:rsidRPr="00576185">
        <w:rPr>
          <w:sz w:val="30"/>
          <w:szCs w:val="30"/>
        </w:rPr>
        <w:t>帐户</w:t>
      </w:r>
      <w:proofErr w:type="gramEnd"/>
      <w:r w:rsidRPr="00576185">
        <w:rPr>
          <w:sz w:val="30"/>
          <w:szCs w:val="30"/>
        </w:rPr>
        <w:t>创造</w:t>
      </w:r>
      <w:r w:rsidRPr="00576185">
        <w:rPr>
          <w:sz w:val="30"/>
          <w:szCs w:val="30"/>
        </w:rPr>
        <w:lastRenderedPageBreak/>
        <w:t>出额外利润，建立大量自营头寸。如此一来，截至</w:t>
      </w:r>
      <w:r w:rsidRPr="00576185">
        <w:rPr>
          <w:sz w:val="30"/>
          <w:szCs w:val="30"/>
        </w:rPr>
        <w:t>1994</w:t>
      </w:r>
      <w:r w:rsidRPr="00576185">
        <w:rPr>
          <w:sz w:val="30"/>
          <w:szCs w:val="30"/>
        </w:rPr>
        <w:t>年底，一整年的亏损达</w:t>
      </w:r>
      <w:r w:rsidRPr="00576185">
        <w:rPr>
          <w:sz w:val="30"/>
          <w:szCs w:val="30"/>
        </w:rPr>
        <w:t>185</w:t>
      </w:r>
      <w:proofErr w:type="gramStart"/>
      <w:r w:rsidRPr="00576185">
        <w:rPr>
          <w:sz w:val="30"/>
          <w:szCs w:val="30"/>
        </w:rPr>
        <w:t>百万</w:t>
      </w:r>
      <w:proofErr w:type="gramEnd"/>
      <w:r w:rsidRPr="00576185">
        <w:rPr>
          <w:sz w:val="30"/>
          <w:szCs w:val="30"/>
        </w:rPr>
        <w:t>英镑，累计亏损达</w:t>
      </w:r>
      <w:r w:rsidRPr="00576185">
        <w:rPr>
          <w:sz w:val="30"/>
          <w:szCs w:val="30"/>
        </w:rPr>
        <w:t>208</w:t>
      </w:r>
      <w:proofErr w:type="gramStart"/>
      <w:r w:rsidRPr="00576185">
        <w:rPr>
          <w:sz w:val="30"/>
          <w:szCs w:val="30"/>
        </w:rPr>
        <w:t>百万</w:t>
      </w:r>
      <w:proofErr w:type="gramEnd"/>
      <w:r w:rsidRPr="00576185">
        <w:rPr>
          <w:sz w:val="30"/>
          <w:szCs w:val="30"/>
        </w:rPr>
        <w:t>英镑，而在以后</w:t>
      </w:r>
      <w:r w:rsidRPr="00576185">
        <w:rPr>
          <w:sz w:val="30"/>
          <w:szCs w:val="30"/>
        </w:rPr>
        <w:t>2</w:t>
      </w:r>
      <w:r w:rsidRPr="00576185">
        <w:rPr>
          <w:sz w:val="30"/>
          <w:szCs w:val="30"/>
        </w:rPr>
        <w:t>个月中，亏损金额成长了近</w:t>
      </w:r>
      <w:r w:rsidRPr="00576185">
        <w:rPr>
          <w:sz w:val="30"/>
          <w:szCs w:val="30"/>
        </w:rPr>
        <w:t>3</w:t>
      </w:r>
      <w:r w:rsidRPr="00576185">
        <w:rPr>
          <w:sz w:val="30"/>
          <w:szCs w:val="30"/>
        </w:rPr>
        <w:t>倍，达到</w:t>
      </w:r>
      <w:r w:rsidRPr="00576185">
        <w:rPr>
          <w:sz w:val="30"/>
          <w:szCs w:val="30"/>
        </w:rPr>
        <w:t>827</w:t>
      </w:r>
      <w:proofErr w:type="gramStart"/>
      <w:r w:rsidRPr="00576185">
        <w:rPr>
          <w:sz w:val="30"/>
          <w:szCs w:val="30"/>
        </w:rPr>
        <w:t>百万</w:t>
      </w:r>
      <w:proofErr w:type="gramEnd"/>
      <w:r w:rsidRPr="00576185">
        <w:rPr>
          <w:sz w:val="30"/>
          <w:szCs w:val="30"/>
        </w:rPr>
        <w:t>英镑，使百年银行巴林倒闭。由此，我们应该根据新巴塞尔协议提供的操作风险有效管理和监管的架构以及国外银行的经验，各商业银行应首先建立操作风险的组织结构，确定高级经理层和风险管理职能部门的责任，建立风险管理制度和文化。其次，应建立风险识别、评估和量化、缓释、监控和报告系统，形成操作风险管理的有效体系。最后，把监管资本作为管理操作风险的缓冲补救措施的同时，要形成有效的内部控制系统，从根本上减少操作风险。</w:t>
      </w:r>
    </w:p>
    <w:p w:rsidR="00576185" w:rsidRPr="00576185" w:rsidRDefault="00576185" w:rsidP="00576185">
      <w:pPr>
        <w:rPr>
          <w:sz w:val="30"/>
          <w:szCs w:val="30"/>
        </w:rPr>
      </w:pPr>
      <w:r w:rsidRPr="00576185">
        <w:rPr>
          <w:sz w:val="30"/>
          <w:szCs w:val="30"/>
        </w:rPr>
        <w:t>3</w:t>
      </w:r>
      <w:r w:rsidRPr="00576185">
        <w:rPr>
          <w:sz w:val="30"/>
          <w:szCs w:val="30"/>
        </w:rPr>
        <w:t>、管理层风险。此次事件本人觉得还有一个管理层风险。里</w:t>
      </w:r>
      <w:proofErr w:type="gramStart"/>
      <w:r w:rsidRPr="00576185">
        <w:rPr>
          <w:sz w:val="30"/>
          <w:szCs w:val="30"/>
        </w:rPr>
        <w:t>森最后</w:t>
      </w:r>
      <w:proofErr w:type="gramEnd"/>
      <w:r w:rsidRPr="00576185">
        <w:rPr>
          <w:sz w:val="30"/>
          <w:szCs w:val="30"/>
        </w:rPr>
        <w:t>说了这么句话，</w:t>
      </w:r>
      <w:r w:rsidRPr="00576185">
        <w:rPr>
          <w:sz w:val="30"/>
          <w:szCs w:val="30"/>
        </w:rPr>
        <w:t>“</w:t>
      </w:r>
      <w:r w:rsidRPr="00576185">
        <w:rPr>
          <w:sz w:val="30"/>
          <w:szCs w:val="30"/>
        </w:rPr>
        <w:t>有一群人本来可以揭穿并阻止我的把戏，但他们没有这么做。我不知道他们的疏忽与罪犯级的疏忽之间界限何在，也不清楚他们是否对我负有什么责任。但如果是在任何其他一家银行，我是不会有机会开始这项犯罪的。</w:t>
      </w:r>
      <w:r w:rsidRPr="00576185">
        <w:rPr>
          <w:sz w:val="30"/>
          <w:szCs w:val="30"/>
        </w:rPr>
        <w:t xml:space="preserve">” </w:t>
      </w:r>
      <w:r w:rsidRPr="00576185">
        <w:rPr>
          <w:sz w:val="30"/>
          <w:szCs w:val="30"/>
        </w:rPr>
        <w:t>而且，在</w:t>
      </w:r>
      <w:r w:rsidRPr="00576185">
        <w:rPr>
          <w:sz w:val="30"/>
          <w:szCs w:val="30"/>
        </w:rPr>
        <w:t>1995</w:t>
      </w:r>
      <w:r w:rsidRPr="00576185">
        <w:rPr>
          <w:sz w:val="30"/>
          <w:szCs w:val="30"/>
        </w:rPr>
        <w:t>年</w:t>
      </w:r>
      <w:r w:rsidRPr="00576185">
        <w:rPr>
          <w:sz w:val="30"/>
          <w:szCs w:val="30"/>
        </w:rPr>
        <w:t>1</w:t>
      </w:r>
      <w:r w:rsidRPr="00576185">
        <w:rPr>
          <w:sz w:val="30"/>
          <w:szCs w:val="30"/>
        </w:rPr>
        <w:t>月</w:t>
      </w:r>
      <w:r w:rsidRPr="00576185">
        <w:rPr>
          <w:sz w:val="30"/>
          <w:szCs w:val="30"/>
        </w:rPr>
        <w:t>11</w:t>
      </w:r>
      <w:r w:rsidRPr="00576185">
        <w:rPr>
          <w:sz w:val="30"/>
          <w:szCs w:val="30"/>
        </w:rPr>
        <w:t>日，李</w:t>
      </w:r>
      <w:proofErr w:type="gramStart"/>
      <w:r w:rsidRPr="00576185">
        <w:rPr>
          <w:sz w:val="30"/>
          <w:szCs w:val="30"/>
        </w:rPr>
        <w:t>森每天</w:t>
      </w:r>
      <w:proofErr w:type="gramEnd"/>
      <w:r w:rsidRPr="00576185">
        <w:rPr>
          <w:sz w:val="30"/>
          <w:szCs w:val="30"/>
        </w:rPr>
        <w:t>要求伦敦汇入</w:t>
      </w:r>
      <w:r w:rsidRPr="00576185">
        <w:rPr>
          <w:sz w:val="30"/>
          <w:szCs w:val="30"/>
        </w:rPr>
        <w:t>1000</w:t>
      </w:r>
      <w:r w:rsidRPr="00576185">
        <w:rPr>
          <w:sz w:val="30"/>
          <w:szCs w:val="30"/>
        </w:rPr>
        <w:t>多万英镑，以支付其追加保证金。事实上，从</w:t>
      </w:r>
      <w:r w:rsidRPr="00576185">
        <w:rPr>
          <w:sz w:val="30"/>
          <w:szCs w:val="30"/>
        </w:rPr>
        <w:t>1993-1994</w:t>
      </w:r>
      <w:r w:rsidRPr="00576185">
        <w:rPr>
          <w:sz w:val="30"/>
          <w:szCs w:val="30"/>
        </w:rPr>
        <w:t>年，巴林银行在</w:t>
      </w:r>
      <w:r w:rsidRPr="00576185">
        <w:rPr>
          <w:sz w:val="30"/>
          <w:szCs w:val="30"/>
        </w:rPr>
        <w:t>SIMEX</w:t>
      </w:r>
      <w:r w:rsidRPr="00576185">
        <w:rPr>
          <w:sz w:val="30"/>
          <w:szCs w:val="30"/>
        </w:rPr>
        <w:t>及日本市场投入的资金已超过</w:t>
      </w:r>
      <w:r w:rsidRPr="00576185">
        <w:rPr>
          <w:sz w:val="30"/>
          <w:szCs w:val="30"/>
        </w:rPr>
        <w:t>11000</w:t>
      </w:r>
      <w:r w:rsidRPr="00576185">
        <w:rPr>
          <w:sz w:val="30"/>
          <w:szCs w:val="30"/>
        </w:rPr>
        <w:t>万英镑，超出了英格兰银行规定英国银行的海外总资金不应超过</w:t>
      </w:r>
      <w:r w:rsidRPr="00576185">
        <w:rPr>
          <w:sz w:val="30"/>
          <w:szCs w:val="30"/>
        </w:rPr>
        <w:t>25%</w:t>
      </w:r>
      <w:r w:rsidRPr="00576185">
        <w:rPr>
          <w:sz w:val="30"/>
          <w:szCs w:val="30"/>
        </w:rPr>
        <w:t>的限制。为此，巴林银行曾与英格兰银行进行多次会谈。在</w:t>
      </w:r>
      <w:r w:rsidRPr="00576185">
        <w:rPr>
          <w:sz w:val="30"/>
          <w:szCs w:val="30"/>
        </w:rPr>
        <w:t>1994</w:t>
      </w:r>
      <w:r w:rsidRPr="00576185">
        <w:rPr>
          <w:sz w:val="30"/>
          <w:szCs w:val="30"/>
        </w:rPr>
        <w:t>年</w:t>
      </w:r>
      <w:r w:rsidRPr="00576185">
        <w:rPr>
          <w:sz w:val="30"/>
          <w:szCs w:val="30"/>
        </w:rPr>
        <w:t>5</w:t>
      </w:r>
      <w:r w:rsidRPr="00576185">
        <w:rPr>
          <w:sz w:val="30"/>
          <w:szCs w:val="30"/>
        </w:rPr>
        <w:t>月，得到英格兰银行主管商业银行监察的高级官员之</w:t>
      </w:r>
      <w:r w:rsidRPr="00576185">
        <w:rPr>
          <w:sz w:val="30"/>
          <w:szCs w:val="30"/>
        </w:rPr>
        <w:t>“</w:t>
      </w:r>
      <w:r w:rsidRPr="00576185">
        <w:rPr>
          <w:sz w:val="30"/>
          <w:szCs w:val="30"/>
        </w:rPr>
        <w:t>默许</w:t>
      </w:r>
      <w:r w:rsidRPr="00576185">
        <w:rPr>
          <w:sz w:val="30"/>
          <w:szCs w:val="30"/>
        </w:rPr>
        <w:t>”</w:t>
      </w:r>
      <w:r w:rsidRPr="00576185">
        <w:rPr>
          <w:sz w:val="30"/>
          <w:szCs w:val="30"/>
        </w:rPr>
        <w:t>，但此默许并未留下任何证明文件，因为没有请示英格兰银行有关部门的最高负责人，违</w:t>
      </w:r>
      <w:r w:rsidRPr="00576185">
        <w:rPr>
          <w:sz w:val="30"/>
          <w:szCs w:val="30"/>
        </w:rPr>
        <w:lastRenderedPageBreak/>
        <w:t>反了英格兰银行的内部规定。最令人难以置信的，便是巴林在</w:t>
      </w:r>
      <w:r w:rsidRPr="00576185">
        <w:rPr>
          <w:sz w:val="30"/>
          <w:szCs w:val="30"/>
        </w:rPr>
        <w:t>1994</w:t>
      </w:r>
      <w:r w:rsidRPr="00576185">
        <w:rPr>
          <w:sz w:val="30"/>
          <w:szCs w:val="30"/>
        </w:rPr>
        <w:t>年底发现资产负债表上显示</w:t>
      </w:r>
      <w:r w:rsidRPr="00576185">
        <w:rPr>
          <w:sz w:val="30"/>
          <w:szCs w:val="30"/>
        </w:rPr>
        <w:t>5000</w:t>
      </w:r>
      <w:r w:rsidRPr="00576185">
        <w:rPr>
          <w:sz w:val="30"/>
          <w:szCs w:val="30"/>
        </w:rPr>
        <w:t>万英镑的差额后，仍然没有警惕到其内部控管的松散及疏忽。在发现问题至其后巴林倒闭的两个月时间里，有很多巴林的高级及资深人员曾对此问题加以关切，更有巴林总部的审计部门正式加以调查。但这些调查，都被里森以极轻易的方式蒙骗过去。里森对这段时期的描述为：</w:t>
      </w:r>
      <w:r w:rsidRPr="00576185">
        <w:rPr>
          <w:sz w:val="30"/>
          <w:szCs w:val="30"/>
        </w:rPr>
        <w:t>“</w:t>
      </w:r>
      <w:r w:rsidRPr="00576185">
        <w:rPr>
          <w:sz w:val="30"/>
          <w:szCs w:val="30"/>
        </w:rPr>
        <w:t>对于没有人来制止我的这件事，我觉得不可思议。伦敦的人应该知道我的数字都是假造的，这些人都应该知道我每天向伦敦总部要求的现金是不对的，但他们仍旧支付这些钱。</w:t>
      </w:r>
      <w:r w:rsidRPr="00576185">
        <w:rPr>
          <w:sz w:val="30"/>
          <w:szCs w:val="30"/>
        </w:rPr>
        <w:t>”</w:t>
      </w:r>
      <w:r w:rsidRPr="00576185">
        <w:rPr>
          <w:sz w:val="30"/>
          <w:szCs w:val="30"/>
        </w:rPr>
        <w:t>由此可见巴林银行内部管理层出现的重大错误也使得巴林的倒闭成为了可能！至于这种风险的管理控制，的确需要我们加以关注！对此，我们应该从科学的角度管理市场风险，关键在于三个方面：一是要建立科学有效的风险管理体系，包括市场风险的识别、量化、监测和控制体系，以及与风险管理相适应的内部控制体系和内部激励约束机制；二是要有风险转移与对冲的手段和工具，实现风险定价和分散；三是要加强市场约束，信息披露和风险解释要充分。</w:t>
      </w:r>
      <w:r w:rsidRPr="00576185">
        <w:rPr>
          <w:sz w:val="30"/>
          <w:szCs w:val="30"/>
        </w:rPr>
        <w:t>”</w:t>
      </w:r>
    </w:p>
    <w:p w:rsidR="00576185" w:rsidRPr="00576185" w:rsidRDefault="00576185" w:rsidP="00576185">
      <w:pPr>
        <w:rPr>
          <w:sz w:val="30"/>
          <w:szCs w:val="30"/>
        </w:rPr>
      </w:pPr>
      <w:r w:rsidRPr="00576185">
        <w:rPr>
          <w:b/>
          <w:bCs/>
          <w:sz w:val="30"/>
          <w:szCs w:val="30"/>
        </w:rPr>
        <w:t>（二）内部控制的缺失</w:t>
      </w:r>
    </w:p>
    <w:p w:rsidR="00576185" w:rsidRPr="00576185" w:rsidRDefault="00576185" w:rsidP="00576185">
      <w:pPr>
        <w:rPr>
          <w:sz w:val="30"/>
          <w:szCs w:val="30"/>
        </w:rPr>
      </w:pPr>
      <w:r w:rsidRPr="00576185">
        <w:rPr>
          <w:sz w:val="30"/>
          <w:szCs w:val="30"/>
        </w:rPr>
        <w:t>1</w:t>
      </w:r>
      <w:r w:rsidRPr="00576185">
        <w:rPr>
          <w:sz w:val="30"/>
          <w:szCs w:val="30"/>
        </w:rPr>
        <w:t>、监督松疏，控制不力</w:t>
      </w:r>
    </w:p>
    <w:p w:rsidR="00576185" w:rsidRPr="00576185" w:rsidRDefault="00576185" w:rsidP="00576185">
      <w:pPr>
        <w:rPr>
          <w:sz w:val="30"/>
          <w:szCs w:val="30"/>
        </w:rPr>
      </w:pPr>
      <w:r w:rsidRPr="00576185">
        <w:rPr>
          <w:sz w:val="30"/>
          <w:szCs w:val="30"/>
        </w:rPr>
        <w:t>（</w:t>
      </w:r>
      <w:r w:rsidRPr="00576185">
        <w:rPr>
          <w:sz w:val="30"/>
          <w:szCs w:val="30"/>
        </w:rPr>
        <w:t>1</w:t>
      </w:r>
      <w:r w:rsidRPr="00576185">
        <w:rPr>
          <w:sz w:val="30"/>
          <w:szCs w:val="30"/>
        </w:rPr>
        <w:t>）对海外</w:t>
      </w:r>
      <w:proofErr w:type="gramStart"/>
      <w:r w:rsidRPr="00576185">
        <w:rPr>
          <w:sz w:val="30"/>
          <w:szCs w:val="30"/>
        </w:rPr>
        <w:t>部运作</w:t>
      </w:r>
      <w:proofErr w:type="gramEnd"/>
      <w:r w:rsidRPr="00576185">
        <w:rPr>
          <w:sz w:val="30"/>
          <w:szCs w:val="30"/>
        </w:rPr>
        <w:t>监督非常松疏。</w:t>
      </w:r>
    </w:p>
    <w:p w:rsidR="00576185" w:rsidRPr="00576185" w:rsidRDefault="00576185" w:rsidP="00576185">
      <w:pPr>
        <w:rPr>
          <w:sz w:val="30"/>
          <w:szCs w:val="30"/>
        </w:rPr>
      </w:pPr>
      <w:r w:rsidRPr="00576185">
        <w:rPr>
          <w:sz w:val="30"/>
          <w:szCs w:val="30"/>
        </w:rPr>
        <w:t xml:space="preserve">    </w:t>
      </w:r>
      <w:r w:rsidRPr="00576185">
        <w:rPr>
          <w:sz w:val="30"/>
          <w:szCs w:val="30"/>
        </w:rPr>
        <w:t>在巴林银行要宣告破产之后不久，该银行高级主管人员称对里森在新加坡的所为一无所知，因为直到里森去职的那天，即</w:t>
      </w:r>
      <w:r w:rsidRPr="00576185">
        <w:rPr>
          <w:sz w:val="30"/>
          <w:szCs w:val="30"/>
        </w:rPr>
        <w:t>2</w:t>
      </w:r>
      <w:r w:rsidRPr="00576185">
        <w:rPr>
          <w:sz w:val="30"/>
          <w:szCs w:val="30"/>
        </w:rPr>
        <w:t>月</w:t>
      </w:r>
      <w:r w:rsidRPr="00576185">
        <w:rPr>
          <w:sz w:val="30"/>
          <w:szCs w:val="30"/>
        </w:rPr>
        <w:t>23</w:t>
      </w:r>
      <w:r w:rsidRPr="00576185">
        <w:rPr>
          <w:sz w:val="30"/>
          <w:szCs w:val="30"/>
        </w:rPr>
        <w:t>日，公司的风险报告仍出现交易不平衡。</w:t>
      </w:r>
    </w:p>
    <w:p w:rsidR="00576185" w:rsidRPr="00576185" w:rsidRDefault="00576185" w:rsidP="00576185">
      <w:pPr>
        <w:rPr>
          <w:sz w:val="30"/>
          <w:szCs w:val="30"/>
        </w:rPr>
      </w:pPr>
      <w:r w:rsidRPr="00576185">
        <w:rPr>
          <w:sz w:val="30"/>
          <w:szCs w:val="30"/>
        </w:rPr>
        <w:lastRenderedPageBreak/>
        <w:t>（</w:t>
      </w:r>
      <w:r w:rsidRPr="00576185">
        <w:rPr>
          <w:sz w:val="30"/>
          <w:szCs w:val="30"/>
        </w:rPr>
        <w:t>2</w:t>
      </w:r>
      <w:r w:rsidRPr="00576185">
        <w:rPr>
          <w:sz w:val="30"/>
          <w:szCs w:val="30"/>
        </w:rPr>
        <w:t>）高额奖金的诱惑使他们不愿严加控制。</w:t>
      </w:r>
    </w:p>
    <w:p w:rsidR="00576185" w:rsidRPr="00576185" w:rsidRDefault="00576185" w:rsidP="00576185">
      <w:pPr>
        <w:rPr>
          <w:sz w:val="30"/>
          <w:szCs w:val="30"/>
        </w:rPr>
      </w:pPr>
      <w:r w:rsidRPr="00576185">
        <w:rPr>
          <w:sz w:val="30"/>
          <w:szCs w:val="30"/>
        </w:rPr>
        <w:t xml:space="preserve">   </w:t>
      </w:r>
      <w:r w:rsidRPr="00576185">
        <w:rPr>
          <w:sz w:val="30"/>
          <w:szCs w:val="30"/>
        </w:rPr>
        <w:t>据新加坡有关当局说，巴林银行在</w:t>
      </w:r>
      <w:r w:rsidRPr="00576185">
        <w:rPr>
          <w:sz w:val="30"/>
          <w:szCs w:val="30"/>
        </w:rPr>
        <w:t>1995</w:t>
      </w:r>
      <w:r w:rsidRPr="00576185">
        <w:rPr>
          <w:sz w:val="30"/>
          <w:szCs w:val="30"/>
        </w:rPr>
        <w:t>年</w:t>
      </w:r>
      <w:r w:rsidRPr="00576185">
        <w:rPr>
          <w:sz w:val="30"/>
          <w:szCs w:val="30"/>
        </w:rPr>
        <w:t>2</w:t>
      </w:r>
      <w:r w:rsidRPr="00576185">
        <w:rPr>
          <w:sz w:val="30"/>
          <w:szCs w:val="30"/>
        </w:rPr>
        <w:t>月的头</w:t>
      </w:r>
      <w:r w:rsidRPr="00576185">
        <w:rPr>
          <w:sz w:val="30"/>
          <w:szCs w:val="30"/>
        </w:rPr>
        <w:t>18</w:t>
      </w:r>
      <w:r w:rsidRPr="00576185">
        <w:rPr>
          <w:sz w:val="30"/>
          <w:szCs w:val="30"/>
        </w:rPr>
        <w:t>天里给新加坡国际货币交易所汇去了</w:t>
      </w:r>
      <w:r w:rsidRPr="00576185">
        <w:rPr>
          <w:sz w:val="30"/>
          <w:szCs w:val="30"/>
        </w:rPr>
        <w:t>1.28</w:t>
      </w:r>
      <w:r w:rsidRPr="00576185">
        <w:rPr>
          <w:sz w:val="30"/>
          <w:szCs w:val="30"/>
        </w:rPr>
        <w:t>亿美元做垫付维持金之用。据《金融时报》报道，英格兰银行行长乔治</w:t>
      </w:r>
      <w:r w:rsidRPr="00576185">
        <w:rPr>
          <w:sz w:val="30"/>
          <w:szCs w:val="30"/>
        </w:rPr>
        <w:t>4</w:t>
      </w:r>
      <w:r w:rsidRPr="00576185">
        <w:rPr>
          <w:sz w:val="30"/>
          <w:szCs w:val="30"/>
        </w:rPr>
        <w:t>月</w:t>
      </w:r>
      <w:r w:rsidRPr="00576185">
        <w:rPr>
          <w:sz w:val="30"/>
          <w:szCs w:val="30"/>
        </w:rPr>
        <w:t>5</w:t>
      </w:r>
      <w:r w:rsidRPr="00576185">
        <w:rPr>
          <w:sz w:val="30"/>
          <w:szCs w:val="30"/>
        </w:rPr>
        <w:t>日对英国公共财政部即内务委员会的国会成员说，巴林银行在未通知英格兰银行的情况下，擅自给其新加坡分部汇去</w:t>
      </w:r>
      <w:r w:rsidRPr="00576185">
        <w:rPr>
          <w:sz w:val="30"/>
          <w:szCs w:val="30"/>
        </w:rPr>
        <w:t>7.6</w:t>
      </w:r>
      <w:r w:rsidRPr="00576185">
        <w:rPr>
          <w:sz w:val="30"/>
          <w:szCs w:val="30"/>
        </w:rPr>
        <w:t>亿英镑现金。也许巴林银行的高层主管确实不知道里森的真正所为，不过，他们起码应该知道这笔超过该银行资本的自己去向及用途。</w:t>
      </w:r>
    </w:p>
    <w:p w:rsidR="00576185" w:rsidRPr="00576185" w:rsidRDefault="00576185" w:rsidP="00576185">
      <w:pPr>
        <w:rPr>
          <w:sz w:val="30"/>
          <w:szCs w:val="30"/>
        </w:rPr>
      </w:pPr>
      <w:r w:rsidRPr="00576185">
        <w:rPr>
          <w:sz w:val="30"/>
          <w:szCs w:val="30"/>
        </w:rPr>
        <w:t xml:space="preserve">   </w:t>
      </w:r>
      <w:r w:rsidRPr="00576185">
        <w:rPr>
          <w:sz w:val="30"/>
          <w:szCs w:val="30"/>
        </w:rPr>
        <w:t>巴林银行破产前，里</w:t>
      </w:r>
      <w:proofErr w:type="gramStart"/>
      <w:r w:rsidRPr="00576185">
        <w:rPr>
          <w:sz w:val="30"/>
          <w:szCs w:val="30"/>
        </w:rPr>
        <w:t>森主要</w:t>
      </w:r>
      <w:proofErr w:type="gramEnd"/>
      <w:r w:rsidRPr="00576185">
        <w:rPr>
          <w:sz w:val="30"/>
          <w:szCs w:val="30"/>
        </w:rPr>
        <w:t>与巴林公司的伦敦总部、东京分部及香港分部交易。而在新加坡的期货交易，仅有少数客户，其中三个为巴林银行分支机构，另一个是巴黎国家银行，每笔交易都会经过一家巴林银行分支机构，因此，巴林银行主管完全</w:t>
      </w:r>
      <w:proofErr w:type="gramStart"/>
      <w:r w:rsidRPr="00576185">
        <w:rPr>
          <w:sz w:val="30"/>
          <w:szCs w:val="30"/>
        </w:rPr>
        <w:t>不知里</w:t>
      </w:r>
      <w:proofErr w:type="gramEnd"/>
      <w:r w:rsidRPr="00576185">
        <w:rPr>
          <w:sz w:val="30"/>
          <w:szCs w:val="30"/>
        </w:rPr>
        <w:t>森的所作所为是不可能的。巴林银行的高级主管一定</w:t>
      </w:r>
      <w:proofErr w:type="gramStart"/>
      <w:r w:rsidRPr="00576185">
        <w:rPr>
          <w:sz w:val="30"/>
          <w:szCs w:val="30"/>
        </w:rPr>
        <w:t>知晓里</w:t>
      </w:r>
      <w:proofErr w:type="gramEnd"/>
      <w:r w:rsidRPr="00576185">
        <w:rPr>
          <w:sz w:val="30"/>
          <w:szCs w:val="30"/>
        </w:rPr>
        <w:t>森的交易活动，因为巴林银行的财务主管及亚洲部主任曾坚持他们不仅知道巴林银行在期货市场的风险曝光度，而且还对新加坡国际货币交易所的管理人员保证他们将支持这种做法。情况很可能是：巴林银行总部知道一切，高层主要需要来自新加坡的利润，高额奖金的诱惑使他们不愿严加控制。虽然出事的</w:t>
      </w:r>
      <w:r w:rsidRPr="00576185">
        <w:rPr>
          <w:sz w:val="30"/>
          <w:szCs w:val="30"/>
        </w:rPr>
        <w:t>“</w:t>
      </w:r>
      <w:r w:rsidRPr="00576185">
        <w:rPr>
          <w:sz w:val="30"/>
          <w:szCs w:val="30"/>
        </w:rPr>
        <w:t>游戏</w:t>
      </w:r>
      <w:r w:rsidRPr="00576185">
        <w:rPr>
          <w:sz w:val="30"/>
          <w:szCs w:val="30"/>
        </w:rPr>
        <w:t>”</w:t>
      </w:r>
      <w:r w:rsidRPr="00576185">
        <w:rPr>
          <w:sz w:val="30"/>
          <w:szCs w:val="30"/>
        </w:rPr>
        <w:t>涉及到衍生产品，但是该交易员未按照常规去</w:t>
      </w:r>
      <w:r w:rsidRPr="00576185">
        <w:rPr>
          <w:sz w:val="30"/>
          <w:szCs w:val="30"/>
        </w:rPr>
        <w:t>“</w:t>
      </w:r>
      <w:r w:rsidRPr="00576185">
        <w:rPr>
          <w:sz w:val="30"/>
          <w:szCs w:val="30"/>
        </w:rPr>
        <w:t>玩</w:t>
      </w:r>
      <w:r w:rsidRPr="00576185">
        <w:rPr>
          <w:sz w:val="30"/>
          <w:szCs w:val="30"/>
        </w:rPr>
        <w:t>”</w:t>
      </w:r>
      <w:r w:rsidRPr="00576185">
        <w:rPr>
          <w:sz w:val="30"/>
          <w:szCs w:val="30"/>
        </w:rPr>
        <w:t>。里森几乎没有衍生产品方面的专门训练，仅是凭直觉在交易。市场走好，他赚，市场走低，他输。如果把巴林银行倒闭</w:t>
      </w:r>
      <w:proofErr w:type="gramStart"/>
      <w:r w:rsidRPr="00576185">
        <w:rPr>
          <w:sz w:val="30"/>
          <w:szCs w:val="30"/>
        </w:rPr>
        <w:t>归咎里</w:t>
      </w:r>
      <w:proofErr w:type="gramEnd"/>
      <w:r w:rsidRPr="00576185">
        <w:rPr>
          <w:sz w:val="30"/>
          <w:szCs w:val="30"/>
        </w:rPr>
        <w:t>森</w:t>
      </w:r>
      <w:proofErr w:type="gramStart"/>
      <w:r w:rsidRPr="00576185">
        <w:rPr>
          <w:sz w:val="30"/>
          <w:szCs w:val="30"/>
        </w:rPr>
        <w:t>一</w:t>
      </w:r>
      <w:proofErr w:type="gramEnd"/>
      <w:r w:rsidRPr="00576185">
        <w:rPr>
          <w:sz w:val="30"/>
          <w:szCs w:val="30"/>
        </w:rPr>
        <w:t>人头上，那实在是太不公平了。可以说巴林银行倒闭不是一人所为，而是一个组织结</w:t>
      </w:r>
      <w:r w:rsidRPr="00576185">
        <w:rPr>
          <w:sz w:val="30"/>
          <w:szCs w:val="30"/>
        </w:rPr>
        <w:lastRenderedPageBreak/>
        <w:t>构漏洞百出的机构所致。</w:t>
      </w:r>
    </w:p>
    <w:p w:rsidR="00576185" w:rsidRPr="00576185" w:rsidRDefault="00576185" w:rsidP="00576185">
      <w:pPr>
        <w:rPr>
          <w:sz w:val="30"/>
          <w:szCs w:val="30"/>
        </w:rPr>
      </w:pPr>
      <w:r w:rsidRPr="00576185">
        <w:rPr>
          <w:sz w:val="30"/>
          <w:szCs w:val="30"/>
        </w:rPr>
        <w:t>（</w:t>
      </w:r>
      <w:r w:rsidRPr="00576185">
        <w:rPr>
          <w:sz w:val="30"/>
          <w:szCs w:val="30"/>
        </w:rPr>
        <w:t>3</w:t>
      </w:r>
      <w:r w:rsidRPr="00576185">
        <w:rPr>
          <w:sz w:val="30"/>
          <w:szCs w:val="30"/>
        </w:rPr>
        <w:t>）调查人员走过场。</w:t>
      </w:r>
    </w:p>
    <w:p w:rsidR="00576185" w:rsidRPr="00576185" w:rsidRDefault="00576185" w:rsidP="00576185">
      <w:pPr>
        <w:rPr>
          <w:sz w:val="30"/>
          <w:szCs w:val="30"/>
        </w:rPr>
      </w:pPr>
      <w:r w:rsidRPr="00576185">
        <w:rPr>
          <w:sz w:val="30"/>
          <w:szCs w:val="30"/>
        </w:rPr>
        <w:t xml:space="preserve">    </w:t>
      </w:r>
      <w:r w:rsidRPr="00576185">
        <w:rPr>
          <w:sz w:val="30"/>
          <w:szCs w:val="30"/>
        </w:rPr>
        <w:t>在损失达到</w:t>
      </w:r>
      <w:r w:rsidRPr="00576185">
        <w:rPr>
          <w:sz w:val="30"/>
          <w:szCs w:val="30"/>
        </w:rPr>
        <w:t>5000</w:t>
      </w:r>
      <w:r w:rsidRPr="00576185">
        <w:rPr>
          <w:sz w:val="30"/>
          <w:szCs w:val="30"/>
        </w:rPr>
        <w:t>万英镑时，巴林银行总部曾派人调查里森的账目。事实上，每天都有一张资产负债表，每天都有明显的记录可</w:t>
      </w:r>
      <w:proofErr w:type="gramStart"/>
      <w:r w:rsidRPr="00576185">
        <w:rPr>
          <w:sz w:val="30"/>
          <w:szCs w:val="30"/>
        </w:rPr>
        <w:t>看出里</w:t>
      </w:r>
      <w:proofErr w:type="gramEnd"/>
      <w:r w:rsidRPr="00576185">
        <w:rPr>
          <w:sz w:val="30"/>
          <w:szCs w:val="30"/>
        </w:rPr>
        <w:t>森的问题。即使是月底，里森为掩盖问题所制造的假账，也极易被发现</w:t>
      </w:r>
      <w:r w:rsidRPr="00576185">
        <w:rPr>
          <w:sz w:val="30"/>
          <w:szCs w:val="30"/>
        </w:rPr>
        <w:t>——</w:t>
      </w:r>
      <w:r w:rsidRPr="00576185">
        <w:rPr>
          <w:sz w:val="30"/>
          <w:szCs w:val="30"/>
        </w:rPr>
        <w:t>如果</w:t>
      </w:r>
      <w:proofErr w:type="gramStart"/>
      <w:r w:rsidRPr="00576185">
        <w:rPr>
          <w:sz w:val="30"/>
          <w:szCs w:val="30"/>
        </w:rPr>
        <w:t>巴林真</w:t>
      </w:r>
      <w:proofErr w:type="gramEnd"/>
      <w:r w:rsidRPr="00576185">
        <w:rPr>
          <w:sz w:val="30"/>
          <w:szCs w:val="30"/>
        </w:rPr>
        <w:t>有严格的审查制度。里森假造花旗银行有</w:t>
      </w:r>
      <w:r w:rsidRPr="00576185">
        <w:rPr>
          <w:sz w:val="30"/>
          <w:szCs w:val="30"/>
        </w:rPr>
        <w:t>5000</w:t>
      </w:r>
      <w:r w:rsidRPr="00576185">
        <w:rPr>
          <w:sz w:val="30"/>
          <w:szCs w:val="30"/>
        </w:rPr>
        <w:t>万英镑存款，但这</w:t>
      </w:r>
      <w:r w:rsidRPr="00576185">
        <w:rPr>
          <w:sz w:val="30"/>
          <w:szCs w:val="30"/>
        </w:rPr>
        <w:t>5000</w:t>
      </w:r>
      <w:r w:rsidRPr="00576185">
        <w:rPr>
          <w:sz w:val="30"/>
          <w:szCs w:val="30"/>
        </w:rPr>
        <w:t>万已被挪用来补偿</w:t>
      </w:r>
      <w:r w:rsidRPr="00576185">
        <w:rPr>
          <w:sz w:val="30"/>
          <w:szCs w:val="30"/>
        </w:rPr>
        <w:t>“88888”</w:t>
      </w:r>
      <w:r w:rsidRPr="00576185">
        <w:rPr>
          <w:sz w:val="30"/>
          <w:szCs w:val="30"/>
        </w:rPr>
        <w:t>号账户中的损失了。查了一个月的账，却没有人去查花旗银行的账目，以致没有人发现花旗银行账户中并没有</w:t>
      </w:r>
      <w:r w:rsidRPr="00576185">
        <w:rPr>
          <w:sz w:val="30"/>
          <w:szCs w:val="30"/>
        </w:rPr>
        <w:t>5000</w:t>
      </w:r>
      <w:r w:rsidRPr="00576185">
        <w:rPr>
          <w:sz w:val="30"/>
          <w:szCs w:val="30"/>
        </w:rPr>
        <w:t>万起重视。伦敦总部也曾想确定来自新加坡分部的利润是否能够长期持续下去，还派了一个审计组来到新加坡分部。审计组主要根据里森提供的情况，编制了一个长达</w:t>
      </w:r>
      <w:r w:rsidRPr="00576185">
        <w:rPr>
          <w:sz w:val="30"/>
          <w:szCs w:val="30"/>
        </w:rPr>
        <w:t>24</w:t>
      </w:r>
      <w:r w:rsidRPr="00576185">
        <w:rPr>
          <w:sz w:val="30"/>
          <w:szCs w:val="30"/>
        </w:rPr>
        <w:t>页的报告。</w:t>
      </w:r>
    </w:p>
    <w:p w:rsidR="00576185" w:rsidRPr="00576185" w:rsidRDefault="00576185" w:rsidP="00576185">
      <w:pPr>
        <w:rPr>
          <w:sz w:val="30"/>
          <w:szCs w:val="30"/>
        </w:rPr>
      </w:pPr>
      <w:r w:rsidRPr="00576185">
        <w:rPr>
          <w:sz w:val="30"/>
          <w:szCs w:val="30"/>
        </w:rPr>
        <w:t>2</w:t>
      </w:r>
      <w:r w:rsidRPr="00576185">
        <w:rPr>
          <w:sz w:val="30"/>
          <w:szCs w:val="30"/>
        </w:rPr>
        <w:t>、权力过于集中</w:t>
      </w:r>
    </w:p>
    <w:p w:rsidR="00576185" w:rsidRPr="00576185" w:rsidRDefault="00576185" w:rsidP="00576185">
      <w:pPr>
        <w:rPr>
          <w:sz w:val="30"/>
          <w:szCs w:val="30"/>
        </w:rPr>
      </w:pPr>
      <w:r w:rsidRPr="00576185">
        <w:rPr>
          <w:sz w:val="30"/>
          <w:szCs w:val="30"/>
        </w:rPr>
        <w:t xml:space="preserve">    </w:t>
      </w:r>
      <w:r w:rsidRPr="00576185">
        <w:rPr>
          <w:sz w:val="30"/>
          <w:szCs w:val="30"/>
        </w:rPr>
        <w:t>如果里森只负责清算部门，如同他本来被赋予的职责一样，那么他便没有必要、也没有机会为其他交易员的失误行为瞒天过海，也就不会造成最后不可收拾的局面。里森作为总经理，他除了负责交易外，还</w:t>
      </w:r>
      <w:proofErr w:type="gramStart"/>
      <w:r w:rsidRPr="00576185">
        <w:rPr>
          <w:sz w:val="30"/>
          <w:szCs w:val="30"/>
        </w:rPr>
        <w:t>集以下</w:t>
      </w:r>
      <w:proofErr w:type="gramEnd"/>
      <w:r w:rsidRPr="00576185">
        <w:rPr>
          <w:sz w:val="30"/>
          <w:szCs w:val="30"/>
        </w:rPr>
        <w:t>四种权力于一身。在巴林银行新加坡分行，里森本人就是制度。他分管交易和结算，这种做法给了里</w:t>
      </w:r>
      <w:proofErr w:type="gramStart"/>
      <w:r w:rsidRPr="00576185">
        <w:rPr>
          <w:sz w:val="30"/>
          <w:szCs w:val="30"/>
        </w:rPr>
        <w:t>森许多</w:t>
      </w:r>
      <w:proofErr w:type="gramEnd"/>
      <w:r w:rsidRPr="00576185">
        <w:rPr>
          <w:sz w:val="30"/>
          <w:szCs w:val="30"/>
        </w:rPr>
        <w:t>自己作决定的机会。里森在</w:t>
      </w:r>
      <w:r w:rsidRPr="00576185">
        <w:rPr>
          <w:sz w:val="30"/>
          <w:szCs w:val="30"/>
        </w:rPr>
        <w:t>1992</w:t>
      </w:r>
      <w:r w:rsidRPr="00576185">
        <w:rPr>
          <w:sz w:val="30"/>
          <w:szCs w:val="30"/>
        </w:rPr>
        <w:t>年去新加坡后，任职巴林新加坡期货</w:t>
      </w:r>
      <w:proofErr w:type="gramStart"/>
      <w:r w:rsidRPr="00576185">
        <w:rPr>
          <w:sz w:val="30"/>
          <w:szCs w:val="30"/>
        </w:rPr>
        <w:t>交易部兼清算</w:t>
      </w:r>
      <w:proofErr w:type="gramEnd"/>
      <w:r w:rsidRPr="00576185">
        <w:rPr>
          <w:sz w:val="30"/>
          <w:szCs w:val="30"/>
        </w:rPr>
        <w:t>部经理。作为一名交易员，里森本来应有的工作是代巴林客户买卖衍生性商品，并替巴林从事套利这两种工作，基本上是没有太大的风险。因为代客操作，风险由客户</w:t>
      </w:r>
      <w:proofErr w:type="gramStart"/>
      <w:r w:rsidRPr="00576185">
        <w:rPr>
          <w:sz w:val="30"/>
          <w:szCs w:val="30"/>
        </w:rPr>
        <w:t>自已</w:t>
      </w:r>
      <w:proofErr w:type="gramEnd"/>
      <w:r w:rsidRPr="00576185">
        <w:rPr>
          <w:sz w:val="30"/>
          <w:szCs w:val="30"/>
        </w:rPr>
        <w:lastRenderedPageBreak/>
        <w:t>承担，交易员只是赚取佣金，而套利行为亦只赚取市场间的差价。例如里森利用新加坡及大阪市场极短时间内的不同价格，替巴林赚取利润。一般银行允许其交易员持有一定额度的风险部位。但为防止交易员在其所属银行暴露于过多的风险中，这种许可额度通常定得相当有限。而通过清算部门每天的结算工作，银行对其交易员和风险部位的情况也可予以有效了解并掌握。但不幸的是，里森却</w:t>
      </w:r>
      <w:proofErr w:type="gramStart"/>
      <w:r w:rsidRPr="00576185">
        <w:rPr>
          <w:sz w:val="30"/>
          <w:szCs w:val="30"/>
        </w:rPr>
        <w:t>一</w:t>
      </w:r>
      <w:proofErr w:type="gramEnd"/>
      <w:r w:rsidRPr="00576185">
        <w:rPr>
          <w:sz w:val="30"/>
          <w:szCs w:val="30"/>
        </w:rPr>
        <w:t>人身兼交易与清算二职。事实上，在里森抵达新加坡前的一个星期，巴林内部曾有一个内部通讯，对此问题可能引起的大灾难提出关切。但此关切却被忽略，以至于里森到职后，同时兼任交易与清算部门的工作。</w:t>
      </w:r>
    </w:p>
    <w:p w:rsidR="00576185" w:rsidRPr="00576185" w:rsidRDefault="00576185" w:rsidP="00576185">
      <w:pPr>
        <w:rPr>
          <w:sz w:val="30"/>
          <w:szCs w:val="30"/>
        </w:rPr>
      </w:pPr>
      <w:r w:rsidRPr="00576185">
        <w:rPr>
          <w:sz w:val="30"/>
          <w:szCs w:val="30"/>
        </w:rPr>
        <w:t>3</w:t>
      </w:r>
      <w:r w:rsidRPr="00576185">
        <w:rPr>
          <w:sz w:val="30"/>
          <w:szCs w:val="30"/>
        </w:rPr>
        <w:t>、奖金结构忽视企业风险系数</w:t>
      </w:r>
    </w:p>
    <w:p w:rsidR="00576185" w:rsidRPr="00576185" w:rsidRDefault="00576185" w:rsidP="00576185">
      <w:pPr>
        <w:rPr>
          <w:sz w:val="30"/>
          <w:szCs w:val="30"/>
        </w:rPr>
      </w:pPr>
      <w:r w:rsidRPr="00576185">
        <w:rPr>
          <w:sz w:val="30"/>
          <w:szCs w:val="30"/>
        </w:rPr>
        <w:t xml:space="preserve">    </w:t>
      </w:r>
      <w:r w:rsidRPr="00576185">
        <w:rPr>
          <w:sz w:val="30"/>
          <w:szCs w:val="30"/>
        </w:rPr>
        <w:t>如果巴林银行有较为健全的内部控制制度，如果里森的权力得到应有的控制，如果巴林银行严格分离它的自营业务和代客交易的话，或许巴林银行还是那个在金融业掷地有声的金融巨头。许多公司为鼓励员工辛勤工作，采取发放奖金的办法。一般根据员工的职务、工作经验、工作成绩以及其他因素。奖金可以是基本年薪的很少的一个百分数，也可以是基本年薪的好几倍，各个公司规定不一。当然，表彰工作成绩是一回事，根据交易所得利润支付大笔奖金，而不考虑公司的风险参数或公司的长期战略，则是另一回事。如果奖金与基本年薪的比例失衡且忽视对风险的考虑，就会使员工为获得高额奖金不恰当地增加公司的风险。</w:t>
      </w:r>
    </w:p>
    <w:p w:rsidR="00576185" w:rsidRPr="00576185" w:rsidRDefault="00576185" w:rsidP="00576185">
      <w:pPr>
        <w:rPr>
          <w:sz w:val="30"/>
          <w:szCs w:val="30"/>
        </w:rPr>
      </w:pPr>
      <w:r w:rsidRPr="00576185">
        <w:rPr>
          <w:b/>
          <w:bCs/>
          <w:sz w:val="30"/>
          <w:szCs w:val="30"/>
        </w:rPr>
        <w:t>4</w:t>
      </w:r>
      <w:r w:rsidRPr="00576185">
        <w:rPr>
          <w:b/>
          <w:bCs/>
          <w:sz w:val="30"/>
          <w:szCs w:val="30"/>
        </w:rPr>
        <w:t xml:space="preserve">、没有专门的风险管理机制以应对可能的业务风险。　</w:t>
      </w:r>
      <w:r w:rsidRPr="00576185">
        <w:rPr>
          <w:sz w:val="30"/>
          <w:szCs w:val="30"/>
        </w:rPr>
        <w:br/>
      </w:r>
      <w:r w:rsidRPr="00576185">
        <w:rPr>
          <w:sz w:val="30"/>
          <w:szCs w:val="30"/>
        </w:rPr>
        <w:lastRenderedPageBreak/>
        <w:t xml:space="preserve">　缺乏专门的风险管理机制也是巴林银行的里森能够顺利从事越权交易的主要原因。巴林银行案件的一个关键线索是巴林银行伦敦总部向其新加坡分行提供的巨额资金的去向，巴林总部的官员相信这笔钱是应客户要求的付款，而实际上该资金转移是里森用来拆东墙补西墙的伎俩。由于缺乏专门的风险管理机制，琐事缠身的总部官员根本没有对这笔资金的去向和用途作审慎审查，不仅没能查出本应查出的错漏，反而加重了巴林银行的损失，导致该银行百年基业的最终坍塌。</w:t>
      </w:r>
    </w:p>
    <w:p w:rsidR="00576185" w:rsidRPr="00576185" w:rsidRDefault="00576185" w:rsidP="00576185">
      <w:pPr>
        <w:rPr>
          <w:sz w:val="30"/>
          <w:szCs w:val="30"/>
        </w:rPr>
      </w:pPr>
      <w:r w:rsidRPr="00576185">
        <w:rPr>
          <w:sz w:val="30"/>
          <w:szCs w:val="30"/>
        </w:rPr>
        <w:t> </w:t>
      </w:r>
    </w:p>
    <w:p w:rsidR="00576185" w:rsidRPr="00576185" w:rsidRDefault="00576185" w:rsidP="00576185">
      <w:pPr>
        <w:rPr>
          <w:sz w:val="30"/>
          <w:szCs w:val="30"/>
        </w:rPr>
      </w:pPr>
      <w:r w:rsidRPr="00576185">
        <w:rPr>
          <w:sz w:val="30"/>
          <w:szCs w:val="30"/>
        </w:rPr>
        <w:t>五、结论与启示</w:t>
      </w:r>
    </w:p>
    <w:p w:rsidR="00576185" w:rsidRPr="00576185" w:rsidRDefault="00576185" w:rsidP="00576185">
      <w:pPr>
        <w:rPr>
          <w:sz w:val="30"/>
          <w:szCs w:val="30"/>
        </w:rPr>
      </w:pPr>
      <w:r w:rsidRPr="00576185">
        <w:rPr>
          <w:sz w:val="30"/>
          <w:szCs w:val="30"/>
        </w:rPr>
        <w:t xml:space="preserve">    </w:t>
      </w:r>
      <w:r w:rsidRPr="00576185">
        <w:rPr>
          <w:sz w:val="30"/>
          <w:szCs w:val="30"/>
        </w:rPr>
        <w:t>在建立健全内部控制时，既不能闭门造车，也不能生搬硬套，从分析自身的控制环境开始，真正建立一套符合企业发展实际的内部控制制度。</w:t>
      </w:r>
      <w:r w:rsidRPr="00576185">
        <w:rPr>
          <w:sz w:val="30"/>
          <w:szCs w:val="30"/>
        </w:rPr>
        <w:br/>
        <w:t>    1</w:t>
      </w:r>
      <w:r w:rsidRPr="00576185">
        <w:rPr>
          <w:sz w:val="30"/>
          <w:szCs w:val="30"/>
        </w:rPr>
        <w:t>、加强法律法规等强制性约来和准则规范。应尽快加强有关企业内部控制方面的法制建设，以及内部审计和独立审计等相关方面的行业准则的制定，为提高企业内控提供外部监督和指导。</w:t>
      </w:r>
      <w:r w:rsidRPr="00576185">
        <w:rPr>
          <w:sz w:val="30"/>
          <w:szCs w:val="30"/>
        </w:rPr>
        <w:br/>
        <w:t>    2</w:t>
      </w:r>
      <w:r w:rsidRPr="00576185">
        <w:rPr>
          <w:sz w:val="30"/>
          <w:szCs w:val="30"/>
        </w:rPr>
        <w:t>、建立健全内控框架。企业要有一个健全有效的内控框架，建立符合现代企业制度的组织结构，加强董事会的职能及其独立性；提高管理者素质，凭借经济市场的竞争，由市场决定而不是由行政指定管理层；鼓励塑造企业文化，加强管理者和员工激励，明晰权责。</w:t>
      </w:r>
      <w:r w:rsidRPr="00576185">
        <w:rPr>
          <w:sz w:val="30"/>
          <w:szCs w:val="30"/>
        </w:rPr>
        <w:br/>
        <w:t>    3</w:t>
      </w:r>
      <w:r w:rsidRPr="00576185">
        <w:rPr>
          <w:sz w:val="30"/>
          <w:szCs w:val="30"/>
        </w:rPr>
        <w:t>、加强风险评估。企业应在经营过程中加强风险评估和风险</w:t>
      </w:r>
      <w:r w:rsidRPr="00576185">
        <w:rPr>
          <w:sz w:val="30"/>
          <w:szCs w:val="30"/>
        </w:rPr>
        <w:lastRenderedPageBreak/>
        <w:t>管理，随着经济的发展，经济环境的变化，企业的经营风险逐步增大并更具有不确定性，如资产风险、信息系统风险、兼并重组风险等，及早进行风险评价，确定风险领域，防患于未然。</w:t>
      </w:r>
      <w:r w:rsidRPr="00576185">
        <w:rPr>
          <w:sz w:val="30"/>
          <w:szCs w:val="30"/>
        </w:rPr>
        <w:br/>
        <w:t>   4</w:t>
      </w:r>
      <w:r w:rsidRPr="00576185">
        <w:rPr>
          <w:sz w:val="30"/>
          <w:szCs w:val="30"/>
        </w:rPr>
        <w:t>、成本效益原则。即在实行内部控制时，花费的成本要低于由此产生的收益，力争以最小的控制成本取得最大的经济效益。</w:t>
      </w:r>
      <w:r w:rsidRPr="00576185">
        <w:rPr>
          <w:sz w:val="30"/>
          <w:szCs w:val="30"/>
        </w:rPr>
        <w:br/>
        <w:t>   5</w:t>
      </w:r>
      <w:r w:rsidRPr="00576185">
        <w:rPr>
          <w:sz w:val="30"/>
          <w:szCs w:val="30"/>
        </w:rPr>
        <w:t>、建立内部控制制度评价体系。对企业来说，建立健全内部控制制度是一个渐进的过程，必须建立其内部控制评价体系，根据情况的变化和出现的问题对相应的内部控制制度</w:t>
      </w:r>
      <w:proofErr w:type="gramStart"/>
      <w:r w:rsidRPr="00576185">
        <w:rPr>
          <w:sz w:val="30"/>
          <w:szCs w:val="30"/>
        </w:rPr>
        <w:t>作出</w:t>
      </w:r>
      <w:proofErr w:type="gramEnd"/>
      <w:r w:rsidRPr="00576185">
        <w:rPr>
          <w:sz w:val="30"/>
          <w:szCs w:val="30"/>
        </w:rPr>
        <w:t>及时修正或建立新的内部控制制度，只有不断进行内部控制自我评价和改进，才能建立起行之有效的内部控制体系。</w:t>
      </w:r>
    </w:p>
    <w:p w:rsidR="00576185" w:rsidRPr="00576185" w:rsidRDefault="00576185" w:rsidP="00576185">
      <w:pPr>
        <w:rPr>
          <w:sz w:val="30"/>
          <w:szCs w:val="30"/>
        </w:rPr>
      </w:pPr>
      <w:r w:rsidRPr="00576185">
        <w:rPr>
          <w:b/>
          <w:bCs/>
          <w:sz w:val="30"/>
          <w:szCs w:val="30"/>
        </w:rPr>
        <w:t>参考文献：</w:t>
      </w:r>
    </w:p>
    <w:p w:rsidR="00583380" w:rsidRPr="00576185" w:rsidRDefault="00583380">
      <w:pPr>
        <w:rPr>
          <w:rFonts w:hint="eastAsia"/>
          <w:sz w:val="30"/>
          <w:szCs w:val="30"/>
        </w:rPr>
      </w:pPr>
      <w:bookmarkStart w:id="0" w:name="_GoBack"/>
      <w:bookmarkEnd w:id="0"/>
    </w:p>
    <w:sectPr w:rsidR="00583380" w:rsidRPr="005761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185"/>
    <w:rsid w:val="00576185"/>
    <w:rsid w:val="00583380"/>
    <w:rsid w:val="006E3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61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61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666327">
      <w:bodyDiv w:val="1"/>
      <w:marLeft w:val="0"/>
      <w:marRight w:val="0"/>
      <w:marTop w:val="0"/>
      <w:marBottom w:val="0"/>
      <w:divBdr>
        <w:top w:val="none" w:sz="0" w:space="0" w:color="auto"/>
        <w:left w:val="none" w:sz="0" w:space="0" w:color="auto"/>
        <w:bottom w:val="none" w:sz="0" w:space="0" w:color="auto"/>
        <w:right w:val="none" w:sz="0" w:space="0" w:color="auto"/>
      </w:divBdr>
      <w:divsChild>
        <w:div w:id="383876572">
          <w:marLeft w:val="0"/>
          <w:marRight w:val="0"/>
          <w:marTop w:val="0"/>
          <w:marBottom w:val="0"/>
          <w:divBdr>
            <w:top w:val="none" w:sz="0" w:space="0" w:color="auto"/>
            <w:left w:val="none" w:sz="0" w:space="0" w:color="auto"/>
            <w:bottom w:val="none" w:sz="0" w:space="0" w:color="auto"/>
            <w:right w:val="none" w:sz="0" w:space="0" w:color="auto"/>
          </w:divBdr>
          <w:divsChild>
            <w:div w:id="1665085941">
              <w:marLeft w:val="0"/>
              <w:marRight w:val="0"/>
              <w:marTop w:val="0"/>
              <w:marBottom w:val="0"/>
              <w:divBdr>
                <w:top w:val="none" w:sz="0" w:space="0" w:color="auto"/>
                <w:left w:val="none" w:sz="0" w:space="0" w:color="auto"/>
                <w:bottom w:val="none" w:sz="0" w:space="0" w:color="auto"/>
                <w:right w:val="none" w:sz="0" w:space="0" w:color="auto"/>
              </w:divBdr>
              <w:divsChild>
                <w:div w:id="753863216">
                  <w:marLeft w:val="0"/>
                  <w:marRight w:val="0"/>
                  <w:marTop w:val="0"/>
                  <w:marBottom w:val="0"/>
                  <w:divBdr>
                    <w:top w:val="none" w:sz="0" w:space="0" w:color="auto"/>
                    <w:left w:val="none" w:sz="0" w:space="0" w:color="auto"/>
                    <w:bottom w:val="none" w:sz="0" w:space="0" w:color="auto"/>
                    <w:right w:val="none" w:sz="0" w:space="0" w:color="auto"/>
                  </w:divBdr>
                  <w:divsChild>
                    <w:div w:id="1111321919">
                      <w:marLeft w:val="150"/>
                      <w:marRight w:val="0"/>
                      <w:marTop w:val="0"/>
                      <w:marBottom w:val="0"/>
                      <w:divBdr>
                        <w:top w:val="none" w:sz="0" w:space="0" w:color="auto"/>
                        <w:left w:val="none" w:sz="0" w:space="0" w:color="auto"/>
                        <w:bottom w:val="none" w:sz="0" w:space="0" w:color="auto"/>
                        <w:right w:val="none" w:sz="0" w:space="0" w:color="auto"/>
                      </w:divBdr>
                      <w:divsChild>
                        <w:div w:id="647171558">
                          <w:marLeft w:val="0"/>
                          <w:marRight w:val="0"/>
                          <w:marTop w:val="0"/>
                          <w:marBottom w:val="150"/>
                          <w:divBdr>
                            <w:top w:val="none" w:sz="0" w:space="0" w:color="auto"/>
                            <w:left w:val="none" w:sz="0" w:space="0" w:color="auto"/>
                            <w:bottom w:val="none" w:sz="0" w:space="0" w:color="auto"/>
                            <w:right w:val="none" w:sz="0" w:space="0" w:color="auto"/>
                          </w:divBdr>
                          <w:divsChild>
                            <w:div w:id="382755217">
                              <w:marLeft w:val="0"/>
                              <w:marRight w:val="0"/>
                              <w:marTop w:val="0"/>
                              <w:marBottom w:val="0"/>
                              <w:divBdr>
                                <w:top w:val="none" w:sz="0" w:space="0" w:color="auto"/>
                                <w:left w:val="none" w:sz="0" w:space="0" w:color="auto"/>
                                <w:bottom w:val="none" w:sz="0" w:space="0" w:color="auto"/>
                                <w:right w:val="none" w:sz="0" w:space="0" w:color="auto"/>
                              </w:divBdr>
                              <w:divsChild>
                                <w:div w:id="854657182">
                                  <w:marLeft w:val="0"/>
                                  <w:marRight w:val="0"/>
                                  <w:marTop w:val="0"/>
                                  <w:marBottom w:val="0"/>
                                  <w:divBdr>
                                    <w:top w:val="none" w:sz="0" w:space="0" w:color="auto"/>
                                    <w:left w:val="none" w:sz="0" w:space="0" w:color="auto"/>
                                    <w:bottom w:val="none" w:sz="0" w:space="0" w:color="auto"/>
                                    <w:right w:val="none" w:sz="0" w:space="0" w:color="auto"/>
                                  </w:divBdr>
                                  <w:divsChild>
                                    <w:div w:id="1544630470">
                                      <w:marLeft w:val="0"/>
                                      <w:marRight w:val="0"/>
                                      <w:marTop w:val="0"/>
                                      <w:marBottom w:val="0"/>
                                      <w:divBdr>
                                        <w:top w:val="none" w:sz="0" w:space="0" w:color="auto"/>
                                        <w:left w:val="none" w:sz="0" w:space="0" w:color="auto"/>
                                        <w:bottom w:val="none" w:sz="0" w:space="0" w:color="auto"/>
                                        <w:right w:val="none" w:sz="0" w:space="0" w:color="auto"/>
                                      </w:divBdr>
                                      <w:divsChild>
                                        <w:div w:id="2101825123">
                                          <w:marLeft w:val="0"/>
                                          <w:marRight w:val="0"/>
                                          <w:marTop w:val="0"/>
                                          <w:marBottom w:val="0"/>
                                          <w:divBdr>
                                            <w:top w:val="none" w:sz="0" w:space="0" w:color="auto"/>
                                            <w:left w:val="none" w:sz="0" w:space="0" w:color="auto"/>
                                            <w:bottom w:val="none" w:sz="0" w:space="0" w:color="auto"/>
                                            <w:right w:val="none" w:sz="0" w:space="0" w:color="auto"/>
                                          </w:divBdr>
                                          <w:divsChild>
                                            <w:div w:id="1495881066">
                                              <w:marLeft w:val="0"/>
                                              <w:marRight w:val="0"/>
                                              <w:marTop w:val="0"/>
                                              <w:marBottom w:val="0"/>
                                              <w:divBdr>
                                                <w:top w:val="none" w:sz="0" w:space="0" w:color="auto"/>
                                                <w:left w:val="none" w:sz="0" w:space="0" w:color="auto"/>
                                                <w:bottom w:val="none" w:sz="0" w:space="0" w:color="auto"/>
                                                <w:right w:val="none" w:sz="0" w:space="0" w:color="auto"/>
                                              </w:divBdr>
                                            </w:div>
                                            <w:div w:id="17081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976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w.chinacfa.cn/bank-and-trust/regulation/index.html" TargetMode="External"/><Relationship Id="rId3" Type="http://schemas.openxmlformats.org/officeDocument/2006/relationships/settings" Target="settings.xml"/><Relationship Id="rId7" Type="http://schemas.openxmlformats.org/officeDocument/2006/relationships/hyperlink" Target="http://soft.studa.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finance.sina.com.cn/futuremarket/index.shtml" TargetMode="External"/><Relationship Id="rId5" Type="http://schemas.openxmlformats.org/officeDocument/2006/relationships/hyperlink" Target="http://baike.baidu.com/view/15686.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1667</Words>
  <Characters>9503</Characters>
  <Application>Microsoft Office Word</Application>
  <DocSecurity>0</DocSecurity>
  <Lines>79</Lines>
  <Paragraphs>22</Paragraphs>
  <ScaleCrop>false</ScaleCrop>
  <Company/>
  <LinksUpToDate>false</LinksUpToDate>
  <CharactersWithSpaces>11148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2011-11-06T03:51:00Z</dcterms:created>
  <dcterms:modified xsi:type="dcterms:W3CDTF">2011-11-06T04:10:00Z</dcterms:modified>
</cp:coreProperties>
</file>