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2A7F8F"/>
          <w:sz w:val="18"/>
          <w:szCs w:val="18"/>
        </w:rPr>
        <w:t xml:space="preserve">Cooperative Retail and Distribution System</w:t>
      </w:r>
    </w:p>
    <w:p>
      <w:pPr>
        <w:spacing w:after="50"/>
      </w:pPr>
      <w:r>
        <w:rPr>
          <w:rFonts w:ascii="Arial" w:cs="Arial" w:eastAsia="Arial" w:hAnsi="Arial"/>
          <w:b/>
          <w:bCs/>
          <w:color w:val="14304A"/>
          <w:sz w:val="30"/>
          <w:szCs w:val="30"/>
        </w:rPr>
        <w:t xml:space="preserve">01 – Vision and Scope</w:t>
      </w:r>
    </w:p>
    <w:p>
      <w:pPr>
        <w:spacing w:after="200"/>
      </w:pPr>
      <w:r>
        <w:rPr>
          <w:rFonts w:ascii="Arial" w:cs="Arial" w:eastAsia="Arial" w:hAnsi="Arial"/>
          <w:i/>
          <w:iCs/>
          <w:color w:val="5A6470"/>
          <w:sz w:val="18"/>
          <w:szCs w:val="18"/>
        </w:rPr>
        <w:t xml:space="preserve">Baseline requirements package — document 1 of 10</w:t>
      </w:r>
    </w:p>
    <w:tbl>
      <w:tblPr>
        <w:tblW w:type="dxa" w:w="9300"/>
        <w:tblBorders>
          <w:top w:val="single" w:color="2A7F8F" w:sz="14"/>
          <w:left w:val="single" w:color="B8C4CC" w:sz="4"/>
          <w:bottom w:val="single" w:color="B8C4CC" w:sz="4"/>
          <w:right w:val="single" w:color="B8C4CC" w:sz="4"/>
          <w:insideH w:val="single" w:color="auto" w:sz="4"/>
          <w:insideV w:val="single" w:color="auto" w:sz="4"/>
        </w:tblBorders>
      </w:tblPr>
      <w:tblGrid>
        <w:gridCol w:w="9300"/>
      </w:tblGrid>
      <w:tr>
        <w:tc>
          <w:tcPr>
            <w:tcW w:type="dxa" w:w="9300"/>
            <w:shd w:fill="EEF3F6" w:val="clear"/>
            <w:tcMar>
              <w:top w:type="dxa" w:w="120"/>
              <w:left w:type="dxa" w:w="160"/>
              <w:bottom w:type="dxa" w:w="120"/>
              <w:right w:type="dxa" w:w="160"/>
            </w:tcMar>
          </w:tcPr>
          <w:p>
            <w:r>
              <w:rPr>
                <w:rFonts w:ascii="Arial" w:cs="Arial" w:eastAsia="Arial" w:hAnsi="Arial"/>
                <w:i/>
                <w:iCs/>
                <w:color w:val="14304A"/>
                <w:sz w:val="18"/>
                <w:szCs w:val="18"/>
              </w:rPr>
              <w:t xml:space="preserve">This statement supersedes the framing scattered across earlier discussion documents and the original clarification questionnaire. Where it conflicts with an earlier document, this statement governs.</w:t>
            </w:r>
          </w:p>
        </w:tc>
      </w:tr>
    </w:tbl>
    <w:p>
      <w:pPr>
        <w:pStyle w:val="Heading1"/>
        <w:spacing w:after="110" w:before="260"/>
      </w:pPr>
      <w:r>
        <w:rPr>
          <w:rFonts w:ascii="Arial" w:cs="Arial" w:eastAsia="Arial" w:hAnsi="Arial"/>
          <w:b/>
          <w:bCs/>
          <w:color w:val="14304A"/>
          <w:sz w:val="25"/>
          <w:szCs w:val="25"/>
        </w:rPr>
        <w:t xml:space="preserve">1. Purpose</w:t>
      </w:r>
    </w:p>
    <w:p>
      <w:pPr>
        <w:spacing w:after="110" w:line="272"/>
        <w:jc w:val="both"/>
      </w:pPr>
      <w:r>
        <w:rPr>
          <w:rFonts w:ascii="Arial" w:cs="Arial" w:eastAsia="Arial" w:hAnsi="Arial"/>
          <w:sz w:val="19"/>
          <w:szCs w:val="19"/>
        </w:rPr>
        <w:t xml:space="preserve">This system is being built for an islandwide cooperative retail and distribution federation in Sri Lanka. It replaces an entirely paper-based operation across four tiers — the central federation (COOPFED), approximately 75 distributors, 800 multi-purpose cooperative societies (MPCS), and roughly 4,000 shops today, growing to an expected 10,000 shops within three years of go-live. No ERP or POS system exists anywhere in the federation today; this system supplies both, for the first time, to an organisation with no prior digital habits.</w:t>
      </w:r>
    </w:p>
    <w:p>
      <w:pPr>
        <w:pStyle w:val="Heading1"/>
        <w:spacing w:after="110" w:before="260"/>
      </w:pPr>
      <w:r>
        <w:rPr>
          <w:rFonts w:ascii="Arial" w:cs="Arial" w:eastAsia="Arial" w:hAnsi="Arial"/>
          <w:b/>
          <w:bCs/>
          <w:color w:val="14304A"/>
          <w:sz w:val="25"/>
          <w:szCs w:val="25"/>
        </w:rPr>
        <w:t xml:space="preserve">2. The single fact that shapes the whole design</w:t>
      </w:r>
    </w:p>
    <w:p>
      <w:pPr>
        <w:spacing w:after="110" w:line="272"/>
        <w:jc w:val="both"/>
      </w:pPr>
      <w:r>
        <w:rPr>
          <w:rFonts w:ascii="Arial" w:cs="Arial" w:eastAsia="Arial" w:hAnsi="Arial"/>
          <w:sz w:val="19"/>
          <w:szCs w:val="19"/>
        </w:rPr>
        <w:t xml:space="preserve">COOPFED, each distributor and each MPCS are separate legal entities. A shop is not a legal entity — it is a trading location belonging to an MPCS or a distributor. Goods moving between two entities are therefore a real commercial transaction (order, delivery, invoice); goods moving between an entity and its own shop are an internal stock transfer. Nearly every design decision in this package follows from that distinction.</w:t>
      </w:r>
    </w:p>
    <w:p>
      <w:pPr>
        <w:pStyle w:val="Heading1"/>
        <w:spacing w:after="110" w:before="260"/>
      </w:pPr>
      <w:r>
        <w:rPr>
          <w:rFonts w:ascii="Arial" w:cs="Arial" w:eastAsia="Arial" w:hAnsi="Arial"/>
          <w:b/>
          <w:bCs/>
          <w:color w:val="14304A"/>
          <w:sz w:val="25"/>
          <w:szCs w:val="25"/>
        </w:rPr>
        <w:t xml:space="preserve">3. Scope boundary: documents, not payments</w:t>
      </w:r>
    </w:p>
    <w:p>
      <w:pPr>
        <w:spacing w:after="110" w:line="272"/>
        <w:jc w:val="both"/>
      </w:pPr>
      <w:r>
        <w:rPr>
          <w:rFonts w:ascii="Arial" w:cs="Arial" w:eastAsia="Arial" w:hAnsi="Arial"/>
          <w:sz w:val="19"/>
          <w:szCs w:val="19"/>
        </w:rPr>
        <w:t xml:space="preserve">The system is the source of truth for stock ownership, stock movement, and the documents that record them: requisitions, orders, delivery notes, goods received notes, invoices, credit and debit notes, claims, and payment-receipt records. The system never moves money and never enforces settlement. A payment-receipt is a document recorded by the seller (“Rs X received against invoice Y”) that releases credit headroom for reporting purposes; it is not a payment gateway, and no financial institution is integrated for fund transfer.</w:t>
      </w:r>
    </w:p>
    <w:p>
      <w:pPr>
        <w:pStyle w:val="ListParagraph"/>
        <w:numPr>
          <w:ilvl w:val="0"/>
          <w:numId w:val="2"/>
        </w:numPr>
        <w:spacing w:after="70" w:line="260"/>
      </w:pPr>
      <w:r>
        <w:rPr>
          <w:rFonts w:ascii="Arial" w:cs="Arial" w:eastAsia="Arial" w:hAnsi="Arial"/>
          <w:b/>
          <w:bCs/>
          <w:sz w:val="19"/>
          <w:szCs w:val="19"/>
        </w:rPr>
        <w:t xml:space="preserve">In scope: </w:t>
      </w:r>
      <w:r>
        <w:rPr>
          <w:rFonts w:ascii="Arial" w:cs="Arial" w:eastAsia="Arial" w:hAnsi="Arial"/>
          <w:sz w:val="19"/>
          <w:szCs w:val="19"/>
        </w:rPr>
        <w:t xml:space="preserve">what the system will do: track ownership, stock, pricing, credit exposure (as recorded), and produce every trading document between entities and at the point of sale.</w:t>
      </w:r>
    </w:p>
    <w:p>
      <w:pPr>
        <w:pStyle w:val="ListParagraph"/>
        <w:numPr>
          <w:ilvl w:val="0"/>
          <w:numId w:val="2"/>
        </w:numPr>
        <w:spacing w:after="70" w:line="260"/>
      </w:pPr>
      <w:r>
        <w:rPr>
          <w:rFonts w:ascii="Arial" w:cs="Arial" w:eastAsia="Arial" w:hAnsi="Arial"/>
          <w:b/>
          <w:bCs/>
          <w:sz w:val="19"/>
          <w:szCs w:val="19"/>
        </w:rPr>
        <w:t xml:space="preserve">Out of scope: </w:t>
      </w:r>
      <w:r>
        <w:rPr>
          <w:rFonts w:ascii="Arial" w:cs="Arial" w:eastAsia="Arial" w:hAnsi="Arial"/>
          <w:sz w:val="19"/>
          <w:szCs w:val="19"/>
        </w:rPr>
        <w:t xml:space="preserve">full statutory accounting per entity (general ledger, trial balance, P&amp;L, balance sheet), payment processing of any kind, cooperative membership, shares, patronage rebates, and AGM governance.</w:t>
      </w:r>
    </w:p>
    <w:p>
      <w:pPr>
        <w:pStyle w:val="ListParagraph"/>
        <w:numPr>
          <w:ilvl w:val="0"/>
          <w:numId w:val="2"/>
        </w:numPr>
        <w:spacing w:after="70" w:line="260"/>
      </w:pPr>
      <w:r>
        <w:rPr>
          <w:rFonts w:ascii="Arial" w:cs="Arial" w:eastAsia="Arial" w:hAnsi="Arial"/>
          <w:b/>
          <w:bCs/>
          <w:sz w:val="19"/>
          <w:szCs w:val="19"/>
        </w:rPr>
        <w:t xml:space="preserve">Deferred, designed for: </w:t>
      </w:r>
      <w:r>
        <w:rPr>
          <w:rFonts w:ascii="Arial" w:cs="Arial" w:eastAsia="Arial" w:hAnsi="Arial"/>
          <w:sz w:val="19"/>
          <w:szCs w:val="19"/>
        </w:rPr>
        <w:t xml:space="preserve">an accounting system is expected after this system is stable; every document type is designed with its eventual journal-posting mapping in mind, so integration is a mapping exercise rather than a redesign.</w:t>
      </w:r>
    </w:p>
    <w:p>
      <w:pPr>
        <w:pStyle w:val="Heading1"/>
        <w:spacing w:after="110" w:before="260"/>
      </w:pPr>
      <w:r>
        <w:rPr>
          <w:rFonts w:ascii="Arial" w:cs="Arial" w:eastAsia="Arial" w:hAnsi="Arial"/>
          <w:b/>
          <w:bCs/>
          <w:color w:val="14304A"/>
          <w:sz w:val="25"/>
          <w:szCs w:val="25"/>
        </w:rPr>
        <w:t xml:space="preserve">4. Business model summary</w:t>
      </w:r>
    </w:p>
    <w:p>
      <w:pPr>
        <w:spacing w:after="110" w:line="272"/>
        <w:jc w:val="both"/>
      </w:pPr>
      <w:r>
        <w:rPr>
          <w:rFonts w:ascii="Arial" w:cs="Arial" w:eastAsia="Arial" w:hAnsi="Arial"/>
          <w:sz w:val="19"/>
          <w:szCs w:val="19"/>
        </w:rPr>
        <w:t xml:space="preserve">COOPFED sells to distributors at a uniform price plus permitted manual adjustments (special discounts, delivery fees). Distributors sell to MPCS at individually negotiated prices with volume discounts. Each MPCS sets one retail price list applied uniformly across all its shops — shops never deviate from it. Distributors are themselves large-scale MPCS, holding a deposit with COOPFED that determines their bulk-purchase credit headroom. An MPCS may hold central stock at its own store and also receive goods dropped directly at its shops.</w:t>
      </w:r>
    </w:p>
    <w:p>
      <w:pPr>
        <w:pStyle w:val="Heading1"/>
        <w:spacing w:after="110" w:before="260"/>
      </w:pPr>
      <w:r>
        <w:rPr>
          <w:rFonts w:ascii="Arial" w:cs="Arial" w:eastAsia="Arial" w:hAnsi="Arial"/>
          <w:b/>
          <w:bCs/>
          <w:color w:val="14304A"/>
          <w:sz w:val="25"/>
          <w:szCs w:val="25"/>
        </w:rPr>
        <w:t xml:space="preserve">5. Delivery approach</w:t>
      </w:r>
    </w:p>
    <w:p>
      <w:pPr>
        <w:spacing w:after="110" w:line="272"/>
        <w:jc w:val="both"/>
      </w:pPr>
      <w:r>
        <w:rPr>
          <w:rFonts w:ascii="Arial" w:cs="Arial" w:eastAsia="Arial" w:hAnsi="Arial"/>
          <w:sz w:val="19"/>
          <w:szCs w:val="19"/>
        </w:rPr>
        <w:t xml:space="preserve">The programme delivers in three functional phases against three geographic rollout waves, with a formal go/no-go decision at the end of the pilot. Phase 1 delivers the core trading spine (party model, catalogue, requisition through to goods receipt, inventory, point of sale with offline operation, pricing and discount rules, credit-headroom tracking). Phase 2 adds reporting, compliance and control features. Phase 3 adds extensions such as bulk customer accounts and retrospective paper-catch-up tooling.</w:t>
      </w:r>
    </w:p>
    <w:p>
      <w:pPr>
        <w:pStyle w:val="Heading1"/>
        <w:spacing w:after="110" w:before="260"/>
      </w:pPr>
      <w:r>
        <w:rPr>
          <w:rFonts w:ascii="Arial" w:cs="Arial" w:eastAsia="Arial" w:hAnsi="Arial"/>
          <w:b/>
          <w:bCs/>
          <w:color w:val="14304A"/>
          <w:sz w:val="25"/>
          <w:szCs w:val="25"/>
        </w:rPr>
        <w:t xml:space="preserve">6. How this package is organised</w:t>
      </w:r>
    </w:p>
    <w:p>
      <w:pPr>
        <w:spacing w:after="110" w:line="272"/>
        <w:jc w:val="both"/>
      </w:pPr>
      <w:r>
        <w:rPr>
          <w:rFonts w:ascii="Arial" w:cs="Arial" w:eastAsia="Arial" w:hAnsi="Arial"/>
          <w:sz w:val="19"/>
          <w:szCs w:val="19"/>
        </w:rPr>
        <w:t xml:space="preserve">This is the first of ten documents forming the requirements baseline. Documents 2–4 model the system’s structure and behaviour (domain model, document lifecycles, process flows). Document 5 is the functional requirements specification. Document 6 states non-functional requirements. Document 7 collects supporting matrices (roles, visibility, audit, configuration, reports). Documents 8–9 provide traceability and a decisions log. Document 10 is the live open-items register.</w:t>
      </w:r>
    </w:p>
    <w:p>
      <w:pPr>
        <w:pStyle w:val="Heading1"/>
        <w:spacing w:after="110" w:before="260"/>
      </w:pPr>
      <w:r>
        <w:rPr>
          <w:rFonts w:ascii="Arial" w:cs="Arial" w:eastAsia="Arial" w:hAnsi="Arial"/>
          <w:b/>
          <w:bCs/>
          <w:color w:val="14304A"/>
          <w:sz w:val="25"/>
          <w:szCs w:val="25"/>
        </w:rPr>
        <w:t xml:space="preserve">7. Baseline authority</w:t>
      </w:r>
    </w:p>
    <w:p>
      <w:pPr>
        <w:spacing w:after="110" w:line="272"/>
        <w:jc w:val="both"/>
      </w:pPr>
      <w:r>
        <w:rPr>
          <w:rFonts w:ascii="Arial" w:cs="Arial" w:eastAsia="Arial" w:hAnsi="Arial"/>
          <w:sz w:val="19"/>
          <w:szCs w:val="19"/>
        </w:rPr>
        <w:t xml:space="preserve">This package becomes the requirements baseline on formal sign-off by federation admins. After baseline, changes are raised as change requests against a requirement ID and assessed for phase impact before being accepted — the baseline is not silently amended by later conversation.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59"/>
      </w:pPr>
    </w:lvl>
  </w:abstractNum>
  <w:abstractNum w:abstractNumId="3"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2026-08-13T21:08:56.262Z</dcterms:created>
  <dcterms:modified xsi:type="dcterms:W3CDTF">2026-08-13T21:08:56.277Z</dcterms:modified>
</cp:coreProperties>
</file>

<file path=docProps/custom.xml><?xml version="1.0" encoding="utf-8"?>
<Properties xmlns="http://schemas.openxmlformats.org/officeDocument/2006/custom-properties" xmlns:vt="http://schemas.openxmlformats.org/officeDocument/2006/docPropsVTypes"/>
</file>