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2A7F8F"/>
          <w:sz w:val="18"/>
          <w:szCs w:val="18"/>
        </w:rPr>
        <w:t xml:space="preserve">Cooperative Retail and Distribution System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4304A"/>
          <w:sz w:val="30"/>
          <w:szCs w:val="30"/>
        </w:rPr>
        <w:t xml:space="preserve">02 – Domain Model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A6470"/>
          <w:sz w:val="18"/>
          <w:szCs w:val="18"/>
        </w:rPr>
        <w:t xml:space="preserve">Baseline requirements package — document 2 of 10</w:t>
      </w:r>
    </w:p>
    <w:tbl>
      <w:tblPr>
        <w:tblW w:type="dxa" w:w="9300"/>
        <w:tblBorders>
          <w:top w:val="single" w:color="2A7F8F" w:sz="14"/>
          <w:left w:val="single" w:color="B8C4CC" w:sz="4"/>
          <w:bottom w:val="single" w:color="B8C4CC" w:sz="4"/>
          <w:right w:val="single" w:color="B8C4CC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EEF3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4304A"/>
                <w:sz w:val="18"/>
                <w:szCs w:val="18"/>
              </w:rPr>
              <w:t xml:space="preserve">Presented as entity and relationship tables rather than a drawn ERD, so it stays exact and easy to keep current in a text document. A drawn diagram can be produced from this table at design time if useful.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1. Core entities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</w:tblGrid>
      <w:tr>
        <w:trPr>
          <w:tblHeader/>
        </w:trPr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Entity</w:t>
            </w:r>
          </w:p>
        </w:tc>
        <w:tc>
          <w:tcPr>
            <w:tcW w:type="dxa" w:w="3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</w:t>
            </w:r>
          </w:p>
        </w:tc>
        <w:tc>
          <w:tcPr>
            <w:tcW w:type="dxa" w:w="3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Cardinality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Federation (COOPFED)</w:t>
            </w:r>
          </w:p>
        </w:tc>
        <w:tc>
          <w:tcPr>
            <w:tcW w:type="dxa" w:w="3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apex entity. Owns the shared SKU catalogue as steward, procures on the open market, sells to distributors, sees all data federation-wide (view-only).</w:t>
            </w:r>
          </w:p>
        </w:tc>
        <w:tc>
          <w:tcPr>
            <w:tcW w:type="dxa" w:w="3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One instance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Distributor</w:t>
            </w:r>
          </w:p>
        </w:tc>
        <w:tc>
          <w:tcPr>
            <w:tcW w:type="dxa" w:w="3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large-scale MPCS. Holds a deposit with COOPFED that sets its bulk-purchase credit headroom. Buys from COOPFED, sells to its MPCS. May itself operate shops.</w:t>
            </w:r>
          </w:p>
        </w:tc>
        <w:tc>
          <w:tcPr>
            <w:tcW w:type="dxa" w:w="3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~75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MPCS</w:t>
            </w:r>
          </w:p>
        </w:tc>
        <w:tc>
          <w:tcPr>
            <w:tcW w:type="dxa" w:w="3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multi-purpose cooperative society. Buys from a distributor (later, optionally, directly from COOPFED). Sets one retail price list for all its shops. Cannot leave the federation.</w:t>
            </w:r>
          </w:p>
        </w:tc>
        <w:tc>
          <w:tcPr>
            <w:tcW w:type="dxa" w:w="3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~800, growing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Shop</w:t>
            </w:r>
          </w:p>
        </w:tc>
        <w:tc>
          <w:tcPr>
            <w:tcW w:type="dxa" w:w="3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trading location belonging to an MPCS or distributor — not a separate legal entity. Sells to end customers at its owning entity's price list. Cannot see sibling shops' data.</w:t>
            </w:r>
          </w:p>
        </w:tc>
        <w:tc>
          <w:tcPr>
            <w:tcW w:type="dxa" w:w="3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~4,000 today, ~10,000 in 3 years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Back-office organisation</w:t>
            </w:r>
          </w:p>
        </w:tc>
        <w:tc>
          <w:tcPr>
            <w:tcW w:type="dxa" w:w="3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administrative presence of Federation, a Distributor, or an MPCS — holds users, roles, and inter-entity trading documents.</w:t>
            </w:r>
          </w:p>
        </w:tc>
        <w:tc>
          <w:tcPr>
            <w:tcW w:type="dxa" w:w="3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876 today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Trading relationship</w:t>
            </w:r>
          </w:p>
        </w:tc>
        <w:tc>
          <w:tcPr>
            <w:tcW w:type="dxa" w:w="3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governed link between two entities (Fed→Distributor, Distributor→MPCS, later Fed→MPCS) carrying its own price list and credit configuration. Not hardcoded to three tiers.</w:t>
            </w:r>
          </w:p>
        </w:tc>
        <w:tc>
          <w:tcPr>
            <w:tcW w:type="dxa" w:w="3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One row per active buyer–seller pair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SKU</w:t>
            </w:r>
          </w:p>
        </w:tc>
        <w:tc>
          <w:tcPr>
            <w:tcW w:type="dxa" w:w="3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smallest distinctly tracked and counted item. Global namespace; carries an owning entity and a status (draft → local → shared). System-generated meaningless code; mandatory English short name.</w:t>
            </w:r>
          </w:p>
        </w:tc>
        <w:tc>
          <w:tcPr>
            <w:tcW w:type="dxa" w:w="3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~4,000 fed SKUs today, growing; local SKUs per entity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Batch</w:t>
            </w:r>
          </w:p>
        </w:tc>
        <w:tc>
          <w:tcPr>
            <w:tcW w:type="dxa" w:w="3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stock lot of one SKU at one entity. Carries cost (incl. landed cost where imported), MRP, and expiry. The level at which cost and MRP live — never the SKU level.</w:t>
            </w:r>
          </w:p>
        </w:tc>
        <w:tc>
          <w:tcPr>
            <w:tcW w:type="dxa" w:w="3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 SKU per receipt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Unit of measure / conversion</w:t>
            </w:r>
          </w:p>
        </w:tc>
        <w:tc>
          <w:tcPr>
            <w:tcW w:type="dxa" w:w="3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SKU's countable units (case, single, kg) and the factor converting between them. Distinguishes a pack-conversion from a genuine repack.</w:t>
            </w:r>
          </w:p>
        </w:tc>
        <w:tc>
          <w:tcPr>
            <w:tcW w:type="dxa" w:w="3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 SKU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Repack recipe</w:t>
            </w:r>
          </w:p>
        </w:tc>
        <w:tc>
          <w:tcPr>
            <w:tcW w:type="dxa" w:w="3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many-to-many, directional bill-of-materials: input SKU(s) + quantity → output SKU + quantity, with expected yield. Governs bulk-to-retail transformation.</w:t>
            </w:r>
          </w:p>
        </w:tc>
        <w:tc>
          <w:tcPr>
            <w:tcW w:type="dxa" w:w="3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 transformation type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Barcode</w:t>
            </w:r>
          </w:p>
        </w:tc>
        <w:tc>
          <w:tcPr>
            <w:tcW w:type="dxa" w:w="3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code resolving to exactly one SKU. Many barcodes may map to one SKU (pack changes, multiple sources, in-store weigh stickers).</w:t>
            </w:r>
          </w:p>
        </w:tc>
        <w:tc>
          <w:tcPr>
            <w:tcW w:type="dxa" w:w="3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Many-to-one to SKU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Customer</w:t>
            </w:r>
          </w:p>
        </w:tc>
        <w:tc>
          <w:tcPr>
            <w:tcW w:type="dxa" w:w="3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global identity (internal ID; phone is a lookup attribute, not the key) with an entity-scoped account per MPCS (credit limit, balance, tags, preferential price — later phase). Not a cooperative member.</w:t>
            </w:r>
          </w:p>
        </w:tc>
        <w:tc>
          <w:tcPr>
            <w:tcW w:type="dxa" w:w="3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Optional — tagged/credit customers only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/ Role / Permission</w:t>
            </w:r>
          </w:p>
        </w:tc>
        <w:tc>
          <w:tcPr>
            <w:tcW w:type="dxa" w:w="3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Dynamic RBAC: a permission catalogue, a role builder, and default role templates. Each entity administers its own users; no entity administers the tier below it except MPCS over its shops.</w:t>
            </w:r>
          </w:p>
        </w:tc>
        <w:tc>
          <w:tcPr>
            <w:tcW w:type="dxa" w:w="3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 entity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Numbering series</w:t>
            </w:r>
          </w:p>
        </w:tc>
        <w:tc>
          <w:tcPr>
            <w:tcW w:type="dxa" w:w="3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gapless sequence: one per till position for till-issued documents, one per entity per document type for back-office documents. Never renumbered.</w:t>
            </w:r>
          </w:p>
        </w:tc>
        <w:tc>
          <w:tcPr>
            <w:tcW w:type="dxa" w:w="3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 till position / per entity / per doc type</w:t>
            </w:r>
          </w:p>
        </w:tc>
      </w:tr>
    </w:tbl>
    <w:p>
      <w:r>
        <w:br w:type="page"/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2. Document types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9"/>
          <w:szCs w:val="19"/>
        </w:rPr>
        <w:t xml:space="preserve">Every document type below follows the same governing rule: a document is created, may transition through a small set of statuses, and is never edited after issue. Correction is always by a new, linked document (reversal, credit note, void) — detailed lifecycle by lifecycle in Document 3.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00"/>
      </w:tblGrid>
      <w:tr>
        <w:trPr>
          <w:tblHeader/>
        </w:trPr>
        <w:tc>
          <w:tcPr>
            <w:tcW w:type="dxa" w:w="2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64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represents</w:t>
            </w:r>
          </w:p>
        </w:tc>
      </w:tr>
      <w:tr>
        <w:tc>
          <w:tcPr>
            <w:tcW w:type="dxa" w:w="2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Order</w:t>
            </w:r>
          </w:p>
        </w:tc>
        <w:tc>
          <w:tcPr>
            <w:tcW w:type="dxa" w:w="6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Requisition from a buying entity to a selling entity, or a shop's request routed via its MPCS.</w:t>
            </w:r>
          </w:p>
        </w:tc>
      </w:tr>
      <w:tr>
        <w:tc>
          <w:tcPr>
            <w:tcW w:type="dxa" w:w="2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Delivery note / dispatch</w:t>
            </w:r>
          </w:p>
        </w:tc>
        <w:tc>
          <w:tcPr>
            <w:tcW w:type="dxa" w:w="6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Accompanies goods in transit; may cover multiple drops from one vehicle.</w:t>
            </w:r>
          </w:p>
        </w:tc>
      </w:tr>
      <w:tr>
        <w:tc>
          <w:tcPr>
            <w:tcW w:type="dxa" w:w="2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Goods received note (GRN)</w:t>
            </w:r>
          </w:p>
        </w:tc>
        <w:tc>
          <w:tcPr>
            <w:tcW w:type="dxa" w:w="6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Raised by the receiving entity or shop (acting on behalf of its MPCS for direct drops). Ownership and risk transfer here.</w:t>
            </w:r>
          </w:p>
        </w:tc>
      </w:tr>
      <w:tr>
        <w:tc>
          <w:tcPr>
            <w:tcW w:type="dxa" w:w="2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Invoice</w:t>
            </w:r>
          </w:p>
        </w:tc>
        <w:tc>
          <w:tcPr>
            <w:tcW w:type="dxa" w:w="6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Immutable record of a completed sale between entities. Never edited — only reversed by credit/debit note.</w:t>
            </w:r>
          </w:p>
        </w:tc>
      </w:tr>
      <w:tr>
        <w:tc>
          <w:tcPr>
            <w:tcW w:type="dxa" w:w="2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Credit note / debit note</w:t>
            </w:r>
          </w:p>
        </w:tc>
        <w:tc>
          <w:tcPr>
            <w:tcW w:type="dxa" w:w="6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Adjusts a prior invoice. Required at all tiers.</w:t>
            </w:r>
          </w:p>
        </w:tc>
      </w:tr>
      <w:tr>
        <w:tc>
          <w:tcPr>
            <w:tcW w:type="dxa" w:w="2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Payment receipt</w:t>
            </w:r>
          </w:p>
        </w:tc>
        <w:tc>
          <w:tcPr>
            <w:tcW w:type="dxa" w:w="6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Recorded by the seller; releases credit headroom. Carries a method (cash / bank deposit / cheque).</w:t>
            </w:r>
          </w:p>
        </w:tc>
      </w:tr>
      <w:tr>
        <w:tc>
          <w:tcPr>
            <w:tcW w:type="dxa" w:w="2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Claim</w:t>
            </w:r>
          </w:p>
        </w:tc>
        <w:tc>
          <w:tcPr>
            <w:tcW w:type="dxa" w:w="6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Raised against a delivery or a batch for damage, shortage or dispute; carries photographic evidence and a witness field.</w:t>
            </w:r>
          </w:p>
        </w:tc>
      </w:tr>
      <w:tr>
        <w:tc>
          <w:tcPr>
            <w:tcW w:type="dxa" w:w="2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Repack transaction</w:t>
            </w:r>
          </w:p>
        </w:tc>
        <w:tc>
          <w:tcPr>
            <w:tcW w:type="dxa" w:w="6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Consumes input batch(es), produces an output batch, per a recipe. Reversible while output stock is unsold.</w:t>
            </w:r>
          </w:p>
        </w:tc>
      </w:tr>
      <w:tr>
        <w:tc>
          <w:tcPr>
            <w:tcW w:type="dxa" w:w="2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Reversal</w:t>
            </w:r>
          </w:p>
        </w:tc>
        <w:tc>
          <w:tcPr>
            <w:tcW w:type="dxa" w:w="6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compensating document restoring a prior state. The general mechanism for correcting mistakes — nothing is ever edited or deleted.</w:t>
            </w:r>
          </w:p>
        </w:tc>
      </w:tr>
      <w:tr>
        <w:tc>
          <w:tcPr>
            <w:tcW w:type="dxa" w:w="2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Stock transfer</w:t>
            </w:r>
          </w:p>
        </w:tc>
        <w:tc>
          <w:tcPr>
            <w:tcW w:type="dxa" w:w="6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Intra-entity movement (MPCS store ↔ shop, shop ↔ shop within one MPCS). Valued at cost, no invoice.</w:t>
            </w:r>
          </w:p>
        </w:tc>
      </w:tr>
      <w:tr>
        <w:tc>
          <w:tcPr>
            <w:tcW w:type="dxa" w:w="2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Stock adjustment</w:t>
            </w:r>
          </w:p>
        </w:tc>
        <w:tc>
          <w:tcPr>
            <w:tcW w:type="dxa" w:w="6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Correction arising from a physical count, escalated by value threshold.</w:t>
            </w:r>
          </w:p>
        </w:tc>
      </w:tr>
      <w:tr>
        <w:tc>
          <w:tcPr>
            <w:tcW w:type="dxa" w:w="2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Write-off</w:t>
            </w:r>
          </w:p>
        </w:tc>
        <w:tc>
          <w:tcPr>
            <w:tcW w:type="dxa" w:w="64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Permission-gated disposal of loss, requiring witness and, where practical, photographic evidence.</w:t>
            </w:r>
          </w:p>
        </w:tc>
      </w:tr>
      <w:tr>
        <w:tc>
          <w:tcPr>
            <w:tcW w:type="dxa" w:w="2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Discount / markdown rule</w:t>
            </w:r>
          </w:p>
        </w:tc>
        <w:tc>
          <w:tcPr>
            <w:tcW w:type="dxa" w:w="6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pre-authorised, target + trigger + benefit rule. The only mechanism by which a bill may ever be discounted.</w:t>
            </w:r>
          </w:p>
        </w:tc>
      </w:tr>
    </w:tbl>
    <w:p>
      <w:r>
        <w:br w:type="page"/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3. Key relationships and cardinalities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sz w:val="19"/>
          <w:szCs w:val="19"/>
        </w:rPr>
        <w:t xml:space="preserve">An MPCS or Distributor has many Shops (1→N). A Shop belongs to exactly one MPCS or Distributor.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sz w:val="19"/>
          <w:szCs w:val="19"/>
        </w:rPr>
        <w:t xml:space="preserve">A Trading relationship links exactly two entities and carries exactly one active price list at a time, effective-dated. An entity may hold many trading relationships (a distributor trades with COOPFED and with many MPCS).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sz w:val="19"/>
          <w:szCs w:val="19"/>
        </w:rPr>
        <w:t xml:space="preserve">A SKU is owned by exactly one entity but may be traded by any entity holding stock of it. A SKU has many Batches, many Barcodes, and may appear as input or output in many Repack recipes.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sz w:val="19"/>
          <w:szCs w:val="19"/>
        </w:rPr>
        <w:t xml:space="preserve">A Batch belongs to exactly one SKU and exactly one holding entity/location. Selling price is not a batch attribute — it lives at SKU × MPCS; only cost and MRP are batch-level.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sz w:val="19"/>
          <w:szCs w:val="19"/>
        </w:rPr>
        <w:t xml:space="preserve">A Customer has exactly one global identity and zero-or-more entity-scoped Accounts (one per MPCS it trades with), and zero-or-more Phones (many-to-one to the identity, since numbers are reused and reassigned in practice).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sz w:val="19"/>
          <w:szCs w:val="19"/>
        </w:rPr>
        <w:t xml:space="preserve">A Numbering series belongs to exactly one till position (for till-issued documents) or exactly one entity + document type pair (for back-office documents) — never to a physical device.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4. Patterns applied consistently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Shared master data: </w:t>
      </w:r>
      <w:r>
        <w:rPr>
          <w:rFonts w:ascii="Arial" w:cs="Arial" w:eastAsia="Arial" w:hAnsi="Arial"/>
          <w:sz w:val="19"/>
          <w:szCs w:val="19"/>
        </w:rPr>
        <w:t xml:space="preserve">global namespace, per-entity ownership and status — applied to SKUs, and reusable for repack recipes.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Global identity, local account: </w:t>
      </w:r>
      <w:r>
        <w:rPr>
          <w:rFonts w:ascii="Arial" w:cs="Arial" w:eastAsia="Arial" w:hAnsi="Arial"/>
          <w:sz w:val="19"/>
          <w:szCs w:val="19"/>
        </w:rPr>
        <w:t xml:space="preserve">shared identity, separate account and balance per counterparty — applied to Customers, and structurally identical to how a Distributor's credit relationship with COOPFED works.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Append-only documents: </w:t>
      </w:r>
      <w:r>
        <w:rPr>
          <w:rFonts w:ascii="Arial" w:cs="Arial" w:eastAsia="Arial" w:hAnsi="Arial"/>
          <w:sz w:val="19"/>
          <w:szCs w:val="19"/>
        </w:rPr>
        <w:t xml:space="preserve">every document is created once, transitions through defined statuses, and is corrected only by a new document that references it. Nothing is ever silently overwritten.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Entity-scoped visibility: </w:t>
      </w:r>
      <w:r>
        <w:rPr>
          <w:rFonts w:ascii="Arial" w:cs="Arial" w:eastAsia="Arial" w:hAnsi="Arial"/>
          <w:sz w:val="19"/>
          <w:szCs w:val="19"/>
        </w:rPr>
        <w:t xml:space="preserve">who may see what is a property of the relationship between two entities (or entity and shop), never a global default. Detailed in the Matrices document.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2026-08-13T21:08:56.508Z</dcterms:created>
  <dcterms:modified xsi:type="dcterms:W3CDTF">2026-08-13T21:08:56.508Z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