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Cooperative Retail and Distribution System</w:t>
      </w:r>
    </w:p>
    <w:p>
      <w:pPr>
        <w:spacing w:after="80"/>
      </w:pPr>
      <w:r>
        <w:rPr>
          <w:rFonts w:ascii="Arial" w:cs="Arial" w:eastAsia="Arial" w:hAnsi="Arial"/>
          <w:b/>
          <w:bCs/>
          <w:i w:val="false"/>
          <w:iCs w:val="false"/>
          <w:color w:val="1F3A5F"/>
          <w:sz w:val="40"/>
          <w:szCs w:val="40"/>
        </w:rPr>
        <w:t xml:space="preserve">00 – Knoweb Document Register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v0.5 — 18 September 2026 — replaces v0.4 (10 September, PDF) and v0.2 (14 August). Live document.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EF3F8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Index of every document of the requirements baseline and the design phase: file, version, status and what it contains. Numbers are identifiers, not reading order. Versioning convention: files are never edited in place on Drive; a superseded version is replaced by a new versioned file and the old one is moved to trash. Design and implementation documents are issued as PDF; the live registers (00, 10) and the folder entry point (00_Start_Here) are Word documents so they can be edited in place. This register decides which version is current whenever two documents disagree.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Requirements baseline folder: </w:t>
      </w:r>
      <w:hyperlink w:history="1" r:id="rIdyhllkwws4xzsezwxpazz5">
        <w:r>
          <w:rPr>
            <w:rFonts w:ascii="Arial" w:cs="Arial" w:eastAsia="Arial" w:hAnsi="Arial"/>
            <w:color w:val="1155CC"/>
            <w:sz w:val="18"/>
            <w:szCs w:val="18"/>
            <w:u w:val="single"/>
          </w:rPr>
          <w:t xml:space="preserve">https://drive.google.com/drive/folders/1DKsOlf4k8vlOJCjp2oVaEQlg-XCs1fgh</w:t>
        </w:r>
      </w:hyperlink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System design folder: </w:t>
      </w:r>
      <w:hyperlink w:history="1" r:id="rIdyvoowskqoiwovf_folnan">
        <w:r>
          <w:rPr>
            <w:rFonts w:ascii="Arial" w:cs="Arial" w:eastAsia="Arial" w:hAnsi="Arial"/>
            <w:color w:val="1155CC"/>
            <w:sz w:val="18"/>
            <w:szCs w:val="18"/>
            <w:u w:val="single"/>
          </w:rPr>
          <w:t xml:space="preserve">https://drive.google.com/drive/folders/14pTgorZIGEZ9FrJGlmhaLy6Eh1o5FdFj</w:t>
        </w:r>
      </w:hyperlink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Code repository (document sources under docs/ from 17 September 2026): </w:t>
      </w:r>
      <w:hyperlink w:history="1" r:id="rIdzwhjcbbik3qu0_olvz8ga">
        <w:r>
          <w:rPr>
            <w:rFonts w:ascii="Arial" w:cs="Arial" w:eastAsia="Arial" w:hAnsi="Arial"/>
            <w:color w:val="1155CC"/>
            <w:sz w:val="18"/>
            <w:szCs w:val="18"/>
            <w:u w:val="single"/>
          </w:rPr>
          <w:t xml:space="preserve">https://github.com/Knoweb/COOP_ERP</w:t>
        </w:r>
      </w:hyperlink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1F3A5F"/>
          <w:sz w:val="28"/>
          <w:szCs w:val="28"/>
        </w:rPr>
        <w:t xml:space="preserve">1. Requirements baseline (documents 00–13, 15, 16)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900"/>
        <w:gridCol w:w="1100"/>
        <w:gridCol w:w="4740"/>
      </w:tblGrid>
      <w:tr>
        <w:trPr>
          <w:tblHeader/>
        </w:trPr>
        <w:tc>
          <w:tcPr>
            <w:tcW w:type="dxa" w:w="2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6F0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File</w:t>
            </w:r>
          </w:p>
        </w:tc>
        <w:tc>
          <w:tcPr>
            <w:tcW w:type="dxa" w:w="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6F0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Version</w:t>
            </w:r>
          </w:p>
        </w:tc>
        <w:tc>
          <w:tcPr>
            <w:tcW w:type="dxa" w:w="11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6F0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Status</w:t>
            </w:r>
          </w:p>
        </w:tc>
        <w:tc>
          <w:tcPr>
            <w:tcW w:type="dxa" w:w="474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6F0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Contents</w:t>
            </w:r>
          </w:p>
        </w:tc>
      </w:tr>
      <w:tr>
        <w:tc>
          <w:tcPr>
            <w:tcW w:type="dxa" w:w="2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00_Knoweb_Document_Register.docx</w:t>
            </w:r>
          </w:p>
        </w:tc>
        <w:tc>
          <w:tcPr>
            <w:tcW w:type="dxa" w:w="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v0.5</w:t>
            </w:r>
          </w:p>
        </w:tc>
        <w:tc>
          <w:tcPr>
            <w:tcW w:type="dxa" w:w="11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Live</w:t>
            </w:r>
          </w:p>
        </w:tc>
        <w:tc>
          <w:tcPr>
            <w:tcW w:type="dxa" w:w="474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This register</w:t>
            </w:r>
          </w:p>
        </w:tc>
      </w:tr>
      <w:tr>
        <w:tc>
          <w:tcPr>
            <w:tcW w:type="dxa" w:w="2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01_Vision_and_Scope</w:t>
            </w:r>
          </w:p>
        </w:tc>
        <w:tc>
          <w:tcPr>
            <w:tcW w:type="dxa" w:w="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v0.2</w:t>
            </w:r>
          </w:p>
        </w:tc>
        <w:tc>
          <w:tcPr>
            <w:tcW w:type="dxa" w:w="11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Baseline</w:t>
            </w:r>
          </w:p>
        </w:tc>
        <w:tc>
          <w:tcPr>
            <w:tcW w:type="dxa" w:w="474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Objectives, boundaries, documents-not-payments scope, delivery approach, baseline authority. Change requests of 3 September 2026 pending as v0.3</w:t>
            </w:r>
          </w:p>
        </w:tc>
      </w:tr>
      <w:tr>
        <w:tc>
          <w:tcPr>
            <w:tcW w:type="dxa" w:w="2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02_Domain_Model</w:t>
            </w:r>
          </w:p>
        </w:tc>
        <w:tc>
          <w:tcPr>
            <w:tcW w:type="dxa" w:w="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v0.2</w:t>
            </w:r>
          </w:p>
        </w:tc>
        <w:tc>
          <w:tcPr>
            <w:tcW w:type="dxa" w:w="11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Baseline</w:t>
            </w:r>
          </w:p>
        </w:tc>
        <w:tc>
          <w:tcPr>
            <w:tcW w:type="dxa" w:w="474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Entity and relationship tables, 13 document types, cardinalities, recurring patterns</w:t>
            </w:r>
          </w:p>
        </w:tc>
      </w:tr>
      <w:tr>
        <w:tc>
          <w:tcPr>
            <w:tcW w:type="dxa" w:w="2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03_Document_State_Machines</w:t>
            </w:r>
          </w:p>
        </w:tc>
        <w:tc>
          <w:tcPr>
            <w:tcW w:type="dxa" w:w="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v0.2</w:t>
            </w:r>
          </w:p>
        </w:tc>
        <w:tc>
          <w:tcPr>
            <w:tcW w:type="dxa" w:w="11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Baseline</w:t>
            </w:r>
          </w:p>
        </w:tc>
        <w:tc>
          <w:tcPr>
            <w:tcW w:type="dxa" w:w="474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All document lifecycles: statuses, transitions, actors, numbering per state. Reconciled in docs 24, 25, 26</w:t>
            </w:r>
          </w:p>
        </w:tc>
      </w:tr>
      <w:tr>
        <w:tc>
          <w:tcPr>
            <w:tcW w:type="dxa" w:w="2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04_Process_Flows</w:t>
            </w:r>
          </w:p>
        </w:tc>
        <w:tc>
          <w:tcPr>
            <w:tcW w:type="dxa" w:w="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v0.2</w:t>
            </w:r>
          </w:p>
        </w:tc>
        <w:tc>
          <w:tcPr>
            <w:tcW w:type="dxa" w:w="11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Baseline</w:t>
            </w:r>
          </w:p>
        </w:tc>
        <w:tc>
          <w:tcPr>
            <w:tcW w:type="dxa" w:w="474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Twelve numbered actor flows from inter-entity trade to shop onboarding</w:t>
            </w:r>
          </w:p>
        </w:tc>
      </w:tr>
      <w:tr>
        <w:tc>
          <w:tcPr>
            <w:tcW w:type="dxa" w:w="2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05_SRS_Functional_Requirements</w:t>
            </w:r>
          </w:p>
        </w:tc>
        <w:tc>
          <w:tcPr>
            <w:tcW w:type="dxa" w:w="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v0.2</w:t>
            </w:r>
          </w:p>
        </w:tc>
        <w:tc>
          <w:tcPr>
            <w:tcW w:type="dxa" w:w="11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Baseline</w:t>
            </w:r>
          </w:p>
        </w:tc>
        <w:tc>
          <w:tcPr>
            <w:tcW w:type="dxa" w:w="474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129 EARS-phrased functional requirements across 16 domains with IDs, phases and source references. FR-PRC-040 split and FR-POS-050 wording per the September change requests</w:t>
            </w:r>
          </w:p>
        </w:tc>
      </w:tr>
      <w:tr>
        <w:tc>
          <w:tcPr>
            <w:tcW w:type="dxa" w:w="2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06_NFR_Specification</w:t>
            </w:r>
          </w:p>
        </w:tc>
        <w:tc>
          <w:tcPr>
            <w:tcW w:type="dxa" w:w="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v0.2</w:t>
            </w:r>
          </w:p>
        </w:tc>
        <w:tc>
          <w:tcPr>
            <w:tcW w:type="dxa" w:w="11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Baseline</w:t>
            </w:r>
          </w:p>
        </w:tc>
        <w:tc>
          <w:tcPr>
            <w:tcW w:type="dxa" w:w="474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Non-functional requirements against ISO 25010. Change requests: hosting-neutral NFR-PRF-020; NFR-UPD-040 deferred; NFR-CMP-030 advisory (24B)</w:t>
            </w:r>
          </w:p>
        </w:tc>
      </w:tr>
      <w:tr>
        <w:tc>
          <w:tcPr>
            <w:tcW w:type="dxa" w:w="2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07_Matrices</w:t>
            </w:r>
          </w:p>
        </w:tc>
        <w:tc>
          <w:tcPr>
            <w:tcW w:type="dxa" w:w="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v0.2</w:t>
            </w:r>
          </w:p>
        </w:tc>
        <w:tc>
          <w:tcPr>
            <w:tcW w:type="dxa" w:w="11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Baseline</w:t>
            </w:r>
          </w:p>
        </w:tc>
        <w:tc>
          <w:tcPr>
            <w:tcW w:type="dxa" w:w="474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RBAC skeleton, visibility matrix, audit event catalogue, configuration-at-setup register, report catalogue placeholder. The discount-cap configuration item and supervisor price override are rescinded by ADR-14 and must not be implemented</w:t>
            </w:r>
          </w:p>
        </w:tc>
      </w:tr>
      <w:tr>
        <w:tc>
          <w:tcPr>
            <w:tcW w:type="dxa" w:w="2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08_Traceability_Matrix</w:t>
            </w:r>
          </w:p>
        </w:tc>
        <w:tc>
          <w:tcPr>
            <w:tcW w:type="dxa" w:w="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v0.2</w:t>
            </w:r>
          </w:p>
        </w:tc>
        <w:tc>
          <w:tcPr>
            <w:tcW w:type="dxa" w:w="11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Baseline</w:t>
            </w:r>
          </w:p>
        </w:tc>
        <w:tc>
          <w:tcPr>
            <w:tcW w:type="dxa" w:w="474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Every questionnaire reference (A–T) mapped to resolution, requirement IDs, phase, status. Doc 40 will extend it to design sections</w:t>
            </w:r>
          </w:p>
        </w:tc>
      </w:tr>
      <w:tr>
        <w:tc>
          <w:tcPr>
            <w:tcW w:type="dxa" w:w="2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09_Decisions_Log</w:t>
            </w:r>
          </w:p>
        </w:tc>
        <w:tc>
          <w:tcPr>
            <w:tcW w:type="dxa" w:w="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v0.2</w:t>
            </w:r>
          </w:p>
        </w:tc>
        <w:tc>
          <w:tcPr>
            <w:tcW w:type="dxa" w:w="11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Live</w:t>
            </w:r>
          </w:p>
        </w:tc>
        <w:tc>
          <w:tcPr>
            <w:tcW w:type="dxa" w:w="474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ADR-01 to ADR-36. ADR-37 to ADR-50 to be entered from doc 18 v0.3.1 §11</w:t>
            </w:r>
          </w:p>
        </w:tc>
      </w:tr>
      <w:tr>
        <w:tc>
          <w:tcPr>
            <w:tcW w:type="dxa" w:w="2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10_Open_Items_Register.docx</w:t>
            </w:r>
          </w:p>
        </w:tc>
        <w:tc>
          <w:tcPr>
            <w:tcW w:type="dxa" w:w="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v0.4</w:t>
            </w:r>
          </w:p>
        </w:tc>
        <w:tc>
          <w:tcPr>
            <w:tcW w:type="dxa" w:w="11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Live</w:t>
            </w:r>
          </w:p>
        </w:tc>
        <w:tc>
          <w:tcPr>
            <w:tcW w:type="dxa" w:w="474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Every open decision and action by decider with the assumption in force; the 13-item ratification batch; parked items; pending external input; closed items</w:t>
            </w:r>
          </w:p>
        </w:tc>
      </w:tr>
      <w:tr>
        <w:tc>
          <w:tcPr>
            <w:tcW w:type="dxa" w:w="2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11_Business_Primer_for_Engineering</w:t>
            </w:r>
          </w:p>
        </w:tc>
        <w:tc>
          <w:tcPr>
            <w:tcW w:type="dxa" w:w="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v0.2</w:t>
            </w:r>
          </w:p>
        </w:tc>
        <w:tc>
          <w:tcPr>
            <w:tcW w:type="dxa" w:w="11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Baseline</w:t>
            </w:r>
          </w:p>
        </w:tc>
        <w:tc>
          <w:tcPr>
            <w:tcW w:type="dxa" w:w="474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The business in plain terms for the build team</w:t>
            </w:r>
          </w:p>
        </w:tc>
      </w:tr>
      <w:tr>
        <w:tc>
          <w:tcPr>
            <w:tcW w:type="dxa" w:w="2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12_Domain_Glossary</w:t>
            </w:r>
          </w:p>
        </w:tc>
        <w:tc>
          <w:tcPr>
            <w:tcW w:type="dxa" w:w="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v0.2</w:t>
            </w:r>
          </w:p>
        </w:tc>
        <w:tc>
          <w:tcPr>
            <w:tcW w:type="dxa" w:w="11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Live</w:t>
            </w:r>
          </w:p>
        </w:tc>
        <w:tc>
          <w:tcPr>
            <w:tcW w:type="dxa" w:w="474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Terms. To add: assortment, control price, primary till, shop-management mode, CPR, sell-through, freshness stamp</w:t>
            </w:r>
          </w:p>
        </w:tc>
      </w:tr>
      <w:tr>
        <w:tc>
          <w:tcPr>
            <w:tcW w:type="dxa" w:w="2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13_Worked_Scenarios</w:t>
            </w:r>
          </w:p>
        </w:tc>
        <w:tc>
          <w:tcPr>
            <w:tcW w:type="dxa" w:w="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v0.2</w:t>
            </w:r>
          </w:p>
        </w:tc>
        <w:tc>
          <w:tcPr>
            <w:tcW w:type="dxa" w:w="11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Baseline</w:t>
            </w:r>
          </w:p>
        </w:tc>
        <w:tc>
          <w:tcPr>
            <w:tcW w:type="dxa" w:w="474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Scenarios 1–4, allocated to modules in docs 24–26</w:t>
            </w:r>
          </w:p>
        </w:tc>
      </w:tr>
      <w:tr>
        <w:tc>
          <w:tcPr>
            <w:tcW w:type="dxa" w:w="2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15_Clarification_Questionnaire</w:t>
            </w:r>
          </w:p>
        </w:tc>
        <w:tc>
          <w:tcPr>
            <w:tcW w:type="dxa" w:w="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v1.0</w:t>
            </w:r>
          </w:p>
        </w:tc>
        <w:tc>
          <w:tcPr>
            <w:tcW w:type="dxa" w:w="11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Reference</w:t>
            </w:r>
          </w:p>
        </w:tc>
        <w:tc>
          <w:tcPr>
            <w:tcW w:type="dxa" w:w="474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The questionnaire put to the federation</w:t>
            </w:r>
          </w:p>
        </w:tc>
      </w:tr>
      <w:tr>
        <w:tc>
          <w:tcPr>
            <w:tcW w:type="dxa" w:w="2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16_Questionnaire_Answers</w:t>
            </w:r>
          </w:p>
        </w:tc>
        <w:tc>
          <w:tcPr>
            <w:tcW w:type="dxa" w:w="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v1.0</w:t>
            </w:r>
          </w:p>
        </w:tc>
        <w:tc>
          <w:tcPr>
            <w:tcW w:type="dxa" w:w="11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Reference</w:t>
            </w:r>
          </w:p>
        </w:tc>
        <w:tc>
          <w:tcPr>
            <w:tcW w:type="dxa" w:w="474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The federation's answers (references A–T cited throughout the design)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i w:val="false"/>
          <w:iCs w:val="false"/>
          <w:color w:val="1F3A5F"/>
          <w:sz w:val="22"/>
          <w:szCs w:val="22"/>
        </w:rPr>
        <w:t xml:space="preserve">Supporting documents (baseline folder)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900"/>
        <w:gridCol w:w="1100"/>
        <w:gridCol w:w="4740"/>
      </w:tblGrid>
      <w:tr>
        <w:trPr>
          <w:tblHeader/>
        </w:trPr>
        <w:tc>
          <w:tcPr>
            <w:tcW w:type="dxa" w:w="2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6F0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File</w:t>
            </w:r>
          </w:p>
        </w:tc>
        <w:tc>
          <w:tcPr>
            <w:tcW w:type="dxa" w:w="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6F0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Version</w:t>
            </w:r>
          </w:p>
        </w:tc>
        <w:tc>
          <w:tcPr>
            <w:tcW w:type="dxa" w:w="11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6F0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Status</w:t>
            </w:r>
          </w:p>
        </w:tc>
        <w:tc>
          <w:tcPr>
            <w:tcW w:type="dxa" w:w="474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6F0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Contents</w:t>
            </w:r>
          </w:p>
        </w:tc>
      </w:tr>
      <w:tr>
        <w:tc>
          <w:tcPr>
            <w:tcW w:type="dxa" w:w="2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Document_Numbering_RFC</w:t>
            </w:r>
          </w:p>
        </w:tc>
        <w:tc>
          <w:tcPr>
            <w:tcW w:type="dxa" w:w="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v1.0</w:t>
            </w:r>
          </w:p>
        </w:tc>
        <w:tc>
          <w:tcPr>
            <w:tcW w:type="dxa" w:w="11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Closed</w:t>
            </w:r>
          </w:p>
        </w:tc>
        <w:tc>
          <w:tcPr>
            <w:tcW w:type="dxa" w:w="474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Multi-series gapless numbering proposal (ADR-11); adopted by 24B on 9 September 2026</w:t>
            </w:r>
          </w:p>
        </w:tc>
      </w:tr>
      <w:tr>
        <w:tc>
          <w:tcPr>
            <w:tcW w:type="dxa" w:w="2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Numbering_Scheme_Tax_Advisor_Briefing</w:t>
            </w:r>
          </w:p>
        </w:tc>
        <w:tc>
          <w:tcPr>
            <w:tcW w:type="dxa" w:w="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v1.0</w:t>
            </w:r>
          </w:p>
        </w:tc>
        <w:tc>
          <w:tcPr>
            <w:tcW w:type="dxa" w:w="11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Sent; advisory</w:t>
            </w:r>
          </w:p>
        </w:tc>
        <w:tc>
          <w:tcPr>
            <w:tcW w:type="dxa" w:w="474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Five written questions for the tax advisor; answers now advisory (24B, doc 10 P-05)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1F3A5F"/>
          <w:sz w:val="28"/>
          <w:szCs w:val="28"/>
        </w:rPr>
        <w:t xml:space="preserve">2. Design phase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i w:val="false"/>
          <w:iCs w:val="false"/>
          <w:color w:val="1F3A5F"/>
          <w:sz w:val="22"/>
          <w:szCs w:val="22"/>
        </w:rPr>
        <w:t xml:space="preserve">2.1 Entry point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900"/>
        <w:gridCol w:w="1100"/>
        <w:gridCol w:w="4740"/>
      </w:tblGrid>
      <w:tr>
        <w:trPr>
          <w:tblHeader/>
        </w:trPr>
        <w:tc>
          <w:tcPr>
            <w:tcW w:type="dxa" w:w="2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6F0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File</w:t>
            </w:r>
          </w:p>
        </w:tc>
        <w:tc>
          <w:tcPr>
            <w:tcW w:type="dxa" w:w="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6F0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Version</w:t>
            </w:r>
          </w:p>
        </w:tc>
        <w:tc>
          <w:tcPr>
            <w:tcW w:type="dxa" w:w="11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6F0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Status</w:t>
            </w:r>
          </w:p>
        </w:tc>
        <w:tc>
          <w:tcPr>
            <w:tcW w:type="dxa" w:w="474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6F0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Contents</w:t>
            </w:r>
          </w:p>
        </w:tc>
      </w:tr>
      <w:tr>
        <w:tc>
          <w:tcPr>
            <w:tcW w:type="dxa" w:w="2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00_Start_Here.docx</w:t>
            </w:r>
          </w:p>
        </w:tc>
        <w:tc>
          <w:tcPr>
            <w:tcW w:type="dxa" w:w="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v1.1</w:t>
            </w:r>
          </w:p>
        </w:tc>
        <w:tc>
          <w:tcPr>
            <w:tcW w:type="dxa" w:w="11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Live</w:t>
            </w:r>
          </w:p>
        </w:tc>
        <w:tc>
          <w:tcPr>
            <w:tcW w:type="dxa" w:w="474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Folder entry point and developer start guide: what the system is, the three governing ideas, which document is which, the full file list, how to start on a module, the non-negotiable rules, reading paths for non-developers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i w:val="false"/>
          <w:iCs w:val="false"/>
          <w:color w:val="1F3A5F"/>
          <w:sz w:val="22"/>
          <w:szCs w:val="22"/>
        </w:rPr>
        <w:t xml:space="preserve">2.2 Stage 1 – Foundations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900"/>
        <w:gridCol w:w="1100"/>
        <w:gridCol w:w="4740"/>
      </w:tblGrid>
      <w:tr>
        <w:trPr>
          <w:tblHeader/>
        </w:trPr>
        <w:tc>
          <w:tcPr>
            <w:tcW w:type="dxa" w:w="2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6F0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File</w:t>
            </w:r>
          </w:p>
        </w:tc>
        <w:tc>
          <w:tcPr>
            <w:tcW w:type="dxa" w:w="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6F0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Version</w:t>
            </w:r>
          </w:p>
        </w:tc>
        <w:tc>
          <w:tcPr>
            <w:tcW w:type="dxa" w:w="11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6F0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Status</w:t>
            </w:r>
          </w:p>
        </w:tc>
        <w:tc>
          <w:tcPr>
            <w:tcW w:type="dxa" w:w="474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6F0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Contents</w:t>
            </w:r>
          </w:p>
        </w:tc>
      </w:tr>
      <w:tr>
        <w:tc>
          <w:tcPr>
            <w:tcW w:type="dxa" w:w="2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14_Technical_Foundations</w:t>
            </w:r>
          </w:p>
        </w:tc>
        <w:tc>
          <w:tcPr>
            <w:tcW w:type="dxa" w:w="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v0.2</w:t>
            </w:r>
          </w:p>
        </w:tc>
        <w:tc>
          <w:tcPr>
            <w:tcW w:type="dxa" w:w="11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Drafted</w:t>
            </w:r>
          </w:p>
        </w:tc>
        <w:tc>
          <w:tcPr>
            <w:tcW w:type="dxa" w:w="474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Stack, till platform, hosting decision matrix (provider-neutral), capacity model, stateless scale-out rules, the seven prototype spikes</w:t>
            </w:r>
          </w:p>
        </w:tc>
      </w:tr>
      <w:tr>
        <w:tc>
          <w:tcPr>
            <w:tcW w:type="dxa" w:w="2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17_Solution_Architecture</w:t>
            </w:r>
          </w:p>
        </w:tc>
        <w:tc>
          <w:tcPr>
            <w:tcW w:type="dxa" w:w="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v0.2.1</w:t>
            </w:r>
          </w:p>
        </w:tc>
        <w:tc>
          <w:tcPr>
            <w:tcW w:type="dxa" w:w="11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Drafted</w:t>
            </w:r>
          </w:p>
        </w:tc>
        <w:tc>
          <w:tcPr>
            <w:tcW w:type="dxa" w:w="474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Module map (M1–M9, M10 boundary), four layers, dependency rules R1–R7, event backbone, edge architecture</w:t>
            </w:r>
          </w:p>
        </w:tc>
      </w:tr>
      <w:tr>
        <w:tc>
          <w:tcPr>
            <w:tcW w:type="dxa" w:w="2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18_Core_Data_Model</w:t>
            </w:r>
          </w:p>
        </w:tc>
        <w:tc>
          <w:tcPr>
            <w:tcW w:type="dxa" w:w="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v0.3.1</w:t>
            </w:r>
          </w:p>
        </w:tc>
        <w:tc>
          <w:tcPr>
            <w:tcW w:type="dxa" w:w="11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Design of record</w:t>
            </w:r>
          </w:p>
        </w:tc>
        <w:tc>
          <w:tcPr>
            <w:tcW w:type="dxa" w:w="474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Parts A–E shared tables and invariants; Part F module schema register; ADR-37–50 list. v0.3.1 restores v0.2 material dropped in the v0.3 rewrite</w:t>
            </w:r>
          </w:p>
        </w:tc>
      </w:tr>
      <w:tr>
        <w:tc>
          <w:tcPr>
            <w:tcW w:type="dxa" w:w="2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19_Kernel_Services</w:t>
            </w:r>
          </w:p>
        </w:tc>
        <w:tc>
          <w:tcPr>
            <w:tcW w:type="dxa" w:w="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v0.2</w:t>
            </w:r>
          </w:p>
        </w:tc>
        <w:tc>
          <w:tcPr>
            <w:tcW w:type="dxa" w:w="11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Drafted</w:t>
            </w:r>
          </w:p>
        </w:tc>
        <w:tc>
          <w:tcPr>
            <w:tcW w:type="dxa" w:w="474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Kernel index; identity, permissions, audit, i18n, events, notifications delivery, configuration register, scheduling</w:t>
            </w:r>
          </w:p>
        </w:tc>
      </w:tr>
      <w:tr>
        <w:tc>
          <w:tcPr>
            <w:tcW w:type="dxa" w:w="2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20_Stage2_Module_Design_Plan</w:t>
            </w:r>
          </w:p>
        </w:tc>
        <w:tc>
          <w:tcPr>
            <w:tcW w:type="dxa" w:w="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v0.3</w:t>
            </w:r>
          </w:p>
        </w:tc>
        <w:tc>
          <w:tcPr>
            <w:tcW w:type="dxa" w:w="11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Drafted</w:t>
            </w:r>
          </w:p>
        </w:tc>
        <w:tc>
          <w:tcPr>
            <w:tcW w:type="dxa" w:w="474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Plan and schedule, the module design template, the implementation-guide outline, simplicity guardrails, Appendix A deferred-capability register, M10 boundary</w:t>
            </w:r>
          </w:p>
        </w:tc>
      </w:tr>
      <w:tr>
        <w:tc>
          <w:tcPr>
            <w:tcW w:type="dxa" w:w="2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30_Frontend_Foundations_and_UI_Module_Designs</w:t>
            </w:r>
          </w:p>
        </w:tc>
        <w:tc>
          <w:tcPr>
            <w:tcW w:type="dxa" w:w="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v0.1</w:t>
            </w:r>
          </w:p>
        </w:tc>
        <w:tc>
          <w:tcPr>
            <w:tcW w:type="dxa" w:w="11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Drafted</w:t>
            </w:r>
          </w:p>
        </w:tc>
        <w:tc>
          <w:tcPr>
            <w:tcW w:type="dxa" w:w="474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Design system, the two shells (web, native Android till), screen inventories per module</w:t>
            </w:r>
          </w:p>
        </w:tc>
      </w:tr>
      <w:tr>
        <w:tc>
          <w:tcPr>
            <w:tcW w:type="dxa" w:w="2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31_Application_Update_and_Distribution</w:t>
            </w:r>
          </w:p>
        </w:tc>
        <w:tc>
          <w:tcPr>
            <w:tcW w:type="dxa" w:w="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v0.1</w:t>
            </w:r>
          </w:p>
        </w:tc>
        <w:tc>
          <w:tcPr>
            <w:tcW w:type="dxa" w:w="11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Drafted</w:t>
            </w:r>
          </w:p>
        </w:tc>
        <w:tc>
          <w:tcPr>
            <w:tcW w:type="dxa" w:w="474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Zero-touch updates to terminals nationwide: device-owner agent, rings, health gates, version floor</w:t>
            </w:r>
          </w:p>
        </w:tc>
      </w:tr>
      <w:tr>
        <w:tc>
          <w:tcPr>
            <w:tcW w:type="dxa" w:w="2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32_Sync_Contract</w:t>
            </w:r>
          </w:p>
        </w:tc>
        <w:tc>
          <w:tcPr>
            <w:tcW w:type="dxa" w:w="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v0.1</w:t>
            </w:r>
          </w:p>
        </w:tc>
        <w:tc>
          <w:tcPr>
            <w:tcW w:type="dxa" w:w="11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Drafted</w:t>
            </w:r>
          </w:p>
        </w:tc>
        <w:tc>
          <w:tcPr>
            <w:tcW w:type="dxa" w:w="474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Till-to-central protocol: batches, acknowledgements, snapshots, gaps, conformance suite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i w:val="false"/>
          <w:iCs w:val="false"/>
          <w:color w:val="1F3A5F"/>
          <w:sz w:val="22"/>
          <w:szCs w:val="22"/>
        </w:rPr>
        <w:t xml:space="preserve">2.3 Sprint 0 – Implementation guides for the foundations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900"/>
        <w:gridCol w:w="1100"/>
        <w:gridCol w:w="4740"/>
      </w:tblGrid>
      <w:tr>
        <w:trPr>
          <w:tblHeader/>
        </w:trPr>
        <w:tc>
          <w:tcPr>
            <w:tcW w:type="dxa" w:w="2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6F0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File</w:t>
            </w:r>
          </w:p>
        </w:tc>
        <w:tc>
          <w:tcPr>
            <w:tcW w:type="dxa" w:w="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6F0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Version</w:t>
            </w:r>
          </w:p>
        </w:tc>
        <w:tc>
          <w:tcPr>
            <w:tcW w:type="dxa" w:w="11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6F0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Status</w:t>
            </w:r>
          </w:p>
        </w:tc>
        <w:tc>
          <w:tcPr>
            <w:tcW w:type="dxa" w:w="474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6F0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Implements</w:t>
            </w:r>
          </w:p>
        </w:tc>
      </w:tr>
      <w:tr>
        <w:tc>
          <w:tcPr>
            <w:tcW w:type="dxa" w:w="2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17A_Build_Skeleton_Implementation_Guide</w:t>
            </w:r>
          </w:p>
        </w:tc>
        <w:tc>
          <w:tcPr>
            <w:tcW w:type="dxa" w:w="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v0.1</w:t>
            </w:r>
          </w:p>
        </w:tc>
        <w:tc>
          <w:tcPr>
            <w:tcW w:type="dxa" w:w="11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Drafted</w:t>
            </w:r>
          </w:p>
        </w:tc>
        <w:tc>
          <w:tcPr>
            <w:tcW w:type="dxa" w:w="474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 (with the stack of 14 and the shells of 30): repository, build, boundary tests, migrations, hello module</w:t>
            </w:r>
          </w:p>
        </w:tc>
      </w:tr>
      <w:tr>
        <w:tc>
          <w:tcPr>
            <w:tcW w:type="dxa" w:w="2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19A_Kernel_Services_Implementation_Guide</w:t>
            </w:r>
          </w:p>
        </w:tc>
        <w:tc>
          <w:tcPr>
            <w:tcW w:type="dxa" w:w="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v0.1</w:t>
            </w:r>
          </w:p>
        </w:tc>
        <w:tc>
          <w:tcPr>
            <w:tcW w:type="dxa" w:w="11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Drafted</w:t>
            </w:r>
          </w:p>
        </w:tc>
        <w:tc>
          <w:tcPr>
            <w:tcW w:type="dxa" w:w="474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19, 18 parts C–E, 32: the kernel services as tables, classes, algorithms and tickets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i w:val="false"/>
          <w:iCs w:val="false"/>
          <w:color w:val="1F3A5F"/>
          <w:sz w:val="22"/>
          <w:szCs w:val="22"/>
        </w:rPr>
        <w:t xml:space="preserve">2.4 Stage 2 – Module designs and implementation guides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900"/>
        <w:gridCol w:w="1100"/>
        <w:gridCol w:w="4740"/>
      </w:tblGrid>
      <w:tr>
        <w:trPr>
          <w:tblHeader/>
        </w:trPr>
        <w:tc>
          <w:tcPr>
            <w:tcW w:type="dxa" w:w="2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6F0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File</w:t>
            </w:r>
          </w:p>
        </w:tc>
        <w:tc>
          <w:tcPr>
            <w:tcW w:type="dxa" w:w="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6F0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Version</w:t>
            </w:r>
          </w:p>
        </w:tc>
        <w:tc>
          <w:tcPr>
            <w:tcW w:type="dxa" w:w="11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6F0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Status</w:t>
            </w:r>
          </w:p>
        </w:tc>
        <w:tc>
          <w:tcPr>
            <w:tcW w:type="dxa" w:w="474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6F0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Guide</w:t>
            </w:r>
          </w:p>
        </w:tc>
      </w:tr>
      <w:tr>
        <w:tc>
          <w:tcPr>
            <w:tcW w:type="dxa" w:w="2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21_M1_Party_Tenancy_Security</w:t>
            </w:r>
          </w:p>
        </w:tc>
        <w:tc>
          <w:tcPr>
            <w:tcW w:type="dxa" w:w="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v0.1</w:t>
            </w:r>
          </w:p>
        </w:tc>
        <w:tc>
          <w:tcPr>
            <w:tcW w:type="dxa" w:w="11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Drafted</w:t>
            </w:r>
          </w:p>
        </w:tc>
        <w:tc>
          <w:tcPr>
            <w:tcW w:type="dxa" w:w="474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21A_M1_Implementation_Guide v0.1</w:t>
            </w:r>
          </w:p>
        </w:tc>
      </w:tr>
      <w:tr>
        <w:tc>
          <w:tcPr>
            <w:tcW w:type="dxa" w:w="2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22_M2_Catalogue_Batch</w:t>
            </w:r>
          </w:p>
        </w:tc>
        <w:tc>
          <w:tcPr>
            <w:tcW w:type="dxa" w:w="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v0.1</w:t>
            </w:r>
          </w:p>
        </w:tc>
        <w:tc>
          <w:tcPr>
            <w:tcW w:type="dxa" w:w="11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Drafted</w:t>
            </w:r>
          </w:p>
        </w:tc>
        <w:tc>
          <w:tcPr>
            <w:tcW w:type="dxa" w:w="474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22A_M2_Implementation_Guide v0.1</w:t>
            </w:r>
          </w:p>
        </w:tc>
      </w:tr>
      <w:tr>
        <w:tc>
          <w:tcPr>
            <w:tcW w:type="dxa" w:w="2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23_M3_Pricing_Rules</w:t>
            </w:r>
          </w:p>
        </w:tc>
        <w:tc>
          <w:tcPr>
            <w:tcW w:type="dxa" w:w="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v0.1</w:t>
            </w:r>
          </w:p>
        </w:tc>
        <w:tc>
          <w:tcPr>
            <w:tcW w:type="dxa" w:w="11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Drafted</w:t>
            </w:r>
          </w:p>
        </w:tc>
        <w:tc>
          <w:tcPr>
            <w:tcW w:type="dxa" w:w="474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23A_M3_Implementation_Guide v0.1</w:t>
            </w:r>
          </w:p>
        </w:tc>
      </w:tr>
      <w:tr>
        <w:tc>
          <w:tcPr>
            <w:tcW w:type="dxa" w:w="2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24_M4_Trading_Documents</w:t>
            </w:r>
          </w:p>
        </w:tc>
        <w:tc>
          <w:tcPr>
            <w:tcW w:type="dxa" w:w="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v0.1</w:t>
            </w:r>
          </w:p>
        </w:tc>
        <w:tc>
          <w:tcPr>
            <w:tcW w:type="dxa" w:w="11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Drafted</w:t>
            </w:r>
          </w:p>
        </w:tc>
        <w:tc>
          <w:tcPr>
            <w:tcW w:type="dxa" w:w="474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24A_M4_Implementation_Guide v0.1 (amended by CR-27-2); 24B_Numbering_Addendum v1.0</w:t>
            </w:r>
          </w:p>
        </w:tc>
      </w:tr>
      <w:tr>
        <w:tc>
          <w:tcPr>
            <w:tcW w:type="dxa" w:w="2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25_M5_Inventory_Costing_Repack_Loss</w:t>
            </w:r>
          </w:p>
        </w:tc>
        <w:tc>
          <w:tcPr>
            <w:tcW w:type="dxa" w:w="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v0.1</w:t>
            </w:r>
          </w:p>
        </w:tc>
        <w:tc>
          <w:tcPr>
            <w:tcW w:type="dxa" w:w="11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Drafted</w:t>
            </w:r>
          </w:p>
        </w:tc>
        <w:tc>
          <w:tcPr>
            <w:tcW w:type="dxa" w:w="474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25A_M5_Implementation_Guide v0.1</w:t>
            </w:r>
          </w:p>
        </w:tc>
      </w:tr>
      <w:tr>
        <w:tc>
          <w:tcPr>
            <w:tcW w:type="dxa" w:w="2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26_M6_POS_Offline</w:t>
            </w:r>
          </w:p>
        </w:tc>
        <w:tc>
          <w:tcPr>
            <w:tcW w:type="dxa" w:w="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v0.1</w:t>
            </w:r>
          </w:p>
        </w:tc>
        <w:tc>
          <w:tcPr>
            <w:tcW w:type="dxa" w:w="11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Drafted</w:t>
            </w:r>
          </w:p>
        </w:tc>
        <w:tc>
          <w:tcPr>
            <w:tcW w:type="dxa" w:w="474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26A_M6_Implementation_Guide v0.1 (till track)</w:t>
            </w:r>
          </w:p>
        </w:tc>
      </w:tr>
      <w:tr>
        <w:tc>
          <w:tcPr>
            <w:tcW w:type="dxa" w:w="2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27_M7_Customers_Payment_Recording</w:t>
            </w:r>
          </w:p>
        </w:tc>
        <w:tc>
          <w:tcPr>
            <w:tcW w:type="dxa" w:w="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v0.1</w:t>
            </w:r>
          </w:p>
        </w:tc>
        <w:tc>
          <w:tcPr>
            <w:tcW w:type="dxa" w:w="11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Drafted</w:t>
            </w:r>
          </w:p>
        </w:tc>
        <w:tc>
          <w:tcPr>
            <w:tcW w:type="dxa" w:w="474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27A_M7_Implementation_Guide v0.1</w:t>
            </w:r>
          </w:p>
        </w:tc>
      </w:tr>
      <w:tr>
        <w:tc>
          <w:tcPr>
            <w:tcW w:type="dxa" w:w="2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28_M8_Reporting_Pipeline</w:t>
            </w:r>
          </w:p>
        </w:tc>
        <w:tc>
          <w:tcPr>
            <w:tcW w:type="dxa" w:w="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v0.1</w:t>
            </w:r>
          </w:p>
        </w:tc>
        <w:tc>
          <w:tcPr>
            <w:tcW w:type="dxa" w:w="11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Drafted</w:t>
            </w:r>
          </w:p>
        </w:tc>
        <w:tc>
          <w:tcPr>
            <w:tcW w:type="dxa" w:w="474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28A_M8_Implementation_Guide v0.1</w:t>
            </w:r>
          </w:p>
        </w:tc>
      </w:tr>
      <w:tr>
        <w:tc>
          <w:tcPr>
            <w:tcW w:type="dxa" w:w="2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29_M9_Integration</w:t>
            </w:r>
          </w:p>
        </w:tc>
        <w:tc>
          <w:tcPr>
            <w:tcW w:type="dxa" w:w="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v0.1</w:t>
            </w:r>
          </w:p>
        </w:tc>
        <w:tc>
          <w:tcPr>
            <w:tcW w:type="dxa" w:w="11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Drafted</w:t>
            </w:r>
          </w:p>
        </w:tc>
        <w:tc>
          <w:tcPr>
            <w:tcW w:type="dxa" w:w="474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29A_M9_Implementation_Guide v0.1; 29A §7 produces the API bundle</w:t>
            </w:r>
          </w:p>
        </w:tc>
      </w:tr>
      <w:tr>
        <w:tc>
          <w:tcPr>
            <w:tcW w:type="dxa" w:w="2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33_API_Specification</w:t>
            </w:r>
          </w:p>
        </w:tc>
        <w:tc>
          <w:tcPr>
            <w:tcW w:type="dxa" w:w="9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–</w:t>
            </w:r>
          </w:p>
        </w:tc>
        <w:tc>
          <w:tcPr>
            <w:tcW w:type="dxa" w:w="11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Build artefact</w:t>
            </w:r>
          </w:p>
        </w:tc>
        <w:tc>
          <w:tcPr>
            <w:tcW w:type="dxa" w:w="474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Produced by the bundle assembler (29A §7): public, internal and device OpenAPI bundles, changelog, documentation site. Never written by hand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i w:val="false"/>
          <w:iCs w:val="false"/>
          <w:color w:val="1F3A5F"/>
          <w:sz w:val="22"/>
          <w:szCs w:val="22"/>
        </w:rPr>
        <w:t xml:space="preserve">2.5 Stage 3 – Prototype spikes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No documents. Seven spikes (doc 14 §8) close as entries in doc 09 or as changes to the affected module pair; spike code lives in the repository.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i w:val="false"/>
          <w:iCs w:val="false"/>
          <w:color w:val="1F3A5F"/>
          <w:sz w:val="22"/>
          <w:szCs w:val="22"/>
        </w:rPr>
        <w:t xml:space="preserve">2.6 Stage 4 – Operational design (to write)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400"/>
        <w:gridCol w:w="4640"/>
      </w:tblGrid>
      <w:tr>
        <w:trPr>
          <w:tblHeader/>
        </w:trPr>
        <w:tc>
          <w:tcPr>
            <w:tcW w:type="dxa" w:w="36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6F0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File</w:t>
            </w:r>
          </w:p>
        </w:tc>
        <w:tc>
          <w:tcPr>
            <w:tcW w:type="dxa" w:w="14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6F0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Status</w:t>
            </w:r>
          </w:p>
        </w:tc>
        <w:tc>
          <w:tcPr>
            <w:tcW w:type="dxa" w:w="464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6F0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Prerequisite</w:t>
            </w:r>
          </w:p>
        </w:tc>
      </w:tr>
      <w:tr>
        <w:tc>
          <w:tcPr>
            <w:tcW w:type="dxa" w:w="36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34_Security_Architecture_and_Threat_Model</w:t>
            </w:r>
          </w:p>
        </w:tc>
        <w:tc>
          <w:tcPr>
            <w:tcW w:type="dxa" w:w="14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 write</w:t>
            </w:r>
          </w:p>
        </w:tc>
        <w:tc>
          <w:tcPr>
            <w:tcW w:type="dxa" w:w="464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18, 19, 21, 26, 29; pen-test sequencing (doc 10 P-13)</w:t>
            </w:r>
          </w:p>
        </w:tc>
      </w:tr>
      <w:tr>
        <w:tc>
          <w:tcPr>
            <w:tcW w:type="dxa" w:w="36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35_Infrastructure_and_Deployment</w:t>
            </w:r>
          </w:p>
        </w:tc>
        <w:tc>
          <w:tcPr>
            <w:tcW w:type="dxa" w:w="14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 write</w:t>
            </w:r>
          </w:p>
        </w:tc>
        <w:tc>
          <w:tcPr>
            <w:tcW w:type="dxa" w:w="464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Hosting decision (doc 10 F-01); 14</w:t>
            </w:r>
          </w:p>
        </w:tc>
      </w:tr>
      <w:tr>
        <w:tc>
          <w:tcPr>
            <w:tcW w:type="dxa" w:w="36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36_Observability_Backup_and_DR</w:t>
            </w:r>
          </w:p>
        </w:tc>
        <w:tc>
          <w:tcPr>
            <w:tcW w:type="dxa" w:w="14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 write</w:t>
            </w:r>
          </w:p>
        </w:tc>
        <w:tc>
          <w:tcPr>
            <w:tcW w:type="dxa" w:w="464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35; 14 §6; spike 5; RTO/RPO (F-14)</w:t>
            </w:r>
          </w:p>
        </w:tc>
      </w:tr>
      <w:tr>
        <w:tc>
          <w:tcPr>
            <w:tcW w:type="dxa" w:w="36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37_Data_Migration_and_Onboarding_Tooling</w:t>
            </w:r>
          </w:p>
        </w:tc>
        <w:tc>
          <w:tcPr>
            <w:tcW w:type="dxa" w:w="14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 write</w:t>
            </w:r>
          </w:p>
        </w:tc>
        <w:tc>
          <w:tcPr>
            <w:tcW w:type="dxa" w:w="464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22, 25 (opening balances), 21 (bulk register), 31 (staging); cutover exercise (P-11)</w:t>
            </w:r>
          </w:p>
        </w:tc>
      </w:tr>
      <w:tr>
        <w:tc>
          <w:tcPr>
            <w:tcW w:type="dxa" w:w="36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38_Operations_and_Support_Runbook</w:t>
            </w:r>
          </w:p>
        </w:tc>
        <w:tc>
          <w:tcPr>
            <w:tcW w:type="dxa" w:w="14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 write</w:t>
            </w:r>
          </w:p>
        </w:tc>
        <w:tc>
          <w:tcPr>
            <w:tcW w:type="dxa" w:w="464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31, 36; helpdesk boundaries (Q-09); support hours (F-02)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i w:val="false"/>
          <w:iCs w:val="false"/>
          <w:color w:val="1F3A5F"/>
          <w:sz w:val="22"/>
          <w:szCs w:val="22"/>
        </w:rPr>
        <w:t xml:space="preserve">2.7 Stage 5 – Build readiness (to write)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400"/>
        <w:gridCol w:w="4640"/>
      </w:tblGrid>
      <w:tr>
        <w:trPr>
          <w:tblHeader/>
        </w:trPr>
        <w:tc>
          <w:tcPr>
            <w:tcW w:type="dxa" w:w="36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6F0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File</w:t>
            </w:r>
          </w:p>
        </w:tc>
        <w:tc>
          <w:tcPr>
            <w:tcW w:type="dxa" w:w="14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6F0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Status</w:t>
            </w:r>
          </w:p>
        </w:tc>
        <w:tc>
          <w:tcPr>
            <w:tcW w:type="dxa" w:w="464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6F0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Prerequisite</w:t>
            </w:r>
          </w:p>
        </w:tc>
      </w:tr>
      <w:tr>
        <w:tc>
          <w:tcPr>
            <w:tcW w:type="dxa" w:w="36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39_Test_Strategy_and_Assurance</w:t>
            </w:r>
          </w:p>
        </w:tc>
        <w:tc>
          <w:tcPr>
            <w:tcW w:type="dxa" w:w="14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 write</w:t>
            </w:r>
          </w:p>
        </w:tc>
        <w:tc>
          <w:tcPr>
            <w:tcW w:type="dxa" w:w="464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Every module design §10; spikes</w:t>
            </w:r>
          </w:p>
        </w:tc>
      </w:tr>
      <w:tr>
        <w:tc>
          <w:tcPr>
            <w:tcW w:type="dxa" w:w="36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40_Design_Traceability_and_Build_Readiness_Review</w:t>
            </w:r>
          </w:p>
        </w:tc>
        <w:tc>
          <w:tcPr>
            <w:tcW w:type="dxa" w:w="14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 write</w:t>
            </w:r>
          </w:p>
        </w:tc>
        <w:tc>
          <w:tcPr>
            <w:tcW w:type="dxa" w:w="464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All; doc 08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1F3A5F"/>
          <w:sz w:val="28"/>
          <w:szCs w:val="28"/>
        </w:rPr>
        <w:t xml:space="preserve">3. Repository mirror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From 17 September 2026 every document above is also committed to the code repository: PDFs and Word files under docs/requirements/ and docs/design/, read-only text extracts under the txt/ subfolders, and Markdown sources for any document revised or created thereafter under docs/sources/. The repository's docs/README.md holds the operating instructions; docs/DECISIONS_PENDING.md is the Markdown source of document 10; AGENTS.md at the root carries the standing instructions for the AI coding tools the team uses.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1F3A5F"/>
          <w:sz w:val="28"/>
          <w:szCs w:val="28"/>
        </w:rPr>
        <w:t xml:space="preserve">4. Reading paths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40"/>
      </w:tblGrid>
      <w:tr>
        <w:trPr>
          <w:tblHeader/>
        </w:trPr>
        <w:tc>
          <w:tcPr>
            <w:tcW w:type="dxa" w:w="30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6F0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Reader</w:t>
            </w:r>
          </w:p>
        </w:tc>
        <w:tc>
          <w:tcPr>
            <w:tcW w:type="dxa" w:w="664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6F0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Path</w:t>
            </w:r>
          </w:p>
        </w:tc>
      </w:tr>
      <w:tr>
        <w:tc>
          <w:tcPr>
            <w:tcW w:type="dxa" w:w="30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Federation administrator or board member</w:t>
            </w:r>
          </w:p>
        </w:tc>
        <w:tc>
          <w:tcPr>
            <w:tcW w:type="dxa" w:w="664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 → 11 → 17 §4, §6, §9.2, §10.3 → 20 §2 and Appendix A → 10 (the sections for Federation deciders)</w:t>
            </w:r>
          </w:p>
        </w:tc>
      </w:tr>
      <w:tr>
        <w:tc>
          <w:tcPr>
            <w:tcW w:type="dxa" w:w="30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New engineering lead</w:t>
            </w:r>
          </w:p>
        </w:tc>
        <w:tc>
          <w:tcPr>
            <w:tcW w:type="dxa" w:w="664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00_Start_Here → 14 → 17 → 18 → 19 → 20 → 32 → 30 → 31, then the module pair for their area</w:t>
            </w:r>
          </w:p>
        </w:tc>
      </w:tr>
      <w:tr>
        <w:tc>
          <w:tcPr>
            <w:tcW w:type="dxa" w:w="30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Platform pair (Sprint 0)</w:t>
            </w:r>
          </w:p>
        </w:tc>
        <w:tc>
          <w:tcPr>
            <w:tcW w:type="dxa" w:w="664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17A → 19A, with 18, 19 and 32 beside them</w:t>
            </w:r>
          </w:p>
        </w:tc>
      </w:tr>
      <w:tr>
        <w:tc>
          <w:tcPr>
            <w:tcW w:type="dxa" w:w="30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Module developer</w:t>
            </w:r>
          </w:p>
        </w:tc>
        <w:tc>
          <w:tcPr>
            <w:tcW w:type="dxa" w:w="664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00_Start_Here, then the module's nA guide (self-contained), then the design n for the reasoning, then 10 for the assumptions in force</w:t>
            </w:r>
          </w:p>
        </w:tc>
      </w:tr>
      <w:tr>
        <w:tc>
          <w:tcPr>
            <w:tcW w:type="dxa" w:w="30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Till track</w:t>
            </w:r>
          </w:p>
        </w:tc>
        <w:tc>
          <w:tcPr>
            <w:tcW w:type="dxa" w:w="664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 → 26A → 32 → 24A §7–8, 25A §7–8, 27A §7 → 31 → 30 §4</w:t>
            </w:r>
          </w:p>
        </w:tc>
      </w:tr>
      <w:tr>
        <w:tc>
          <w:tcPr>
            <w:tcW w:type="dxa" w:w="30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Auditor or reviewer</w:t>
            </w:r>
          </w:p>
        </w:tc>
        <w:tc>
          <w:tcPr>
            <w:tcW w:type="dxa" w:w="664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 (invariants, Part F) → 19 §4 → 24B → 34 when written → 10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1F3A5F"/>
          <w:sz w:val="28"/>
          <w:szCs w:val="28"/>
        </w:rPr>
        <w:t xml:space="preserve">5. Status notes and change control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Documents 01–13 are stable baseline content pending federation sign-off of the 3 September 2026 change requests; they change only by change request with Federation sign-off. Design documents are drafts until the Stage 5 review; a module's published contract (design §5) freezes when a dependant designs against it and changes thereafter by change request. Document 10 is the live register, updated at every Stage 2 gate and the Stage 4 and 5 reviews; document 09 records every closed decision; this register records every version change. The Ratification Defaults RFC (doc 10 §2) is still to be tabled; the Numbering RFC closed with 24B.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b w:val="false"/>
        <w:bCs w:val="false"/>
        <w:i w:val="false"/>
        <w:iCs w:val="false"/>
        <w:color w:val="555555"/>
        <w:sz w:val="14"/>
        <w:szCs w:val="14"/>
      </w:rPr>
      <w:t xml:space="preserve">00 - Knoweb Document Register | v0.5 | Cooperative Retail and Distribution System | Page </w:t>
    </w:r>
    <w:r>
      <w:rPr>
        <w:rFonts w:ascii="Arial" w:cs="Arial" w:eastAsia="Arial" w:hAnsi="Arial"/>
        <w:color w:val="555555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yhllkwws4xzsezwxpazz5" Type="http://schemas.openxmlformats.org/officeDocument/2006/relationships/hyperlink" Target="https://drive.google.com/drive/folders/1DKsOlf4k8vlOJCjp2oVaEQlg-XCs1fgh" TargetMode="External"/><Relationship Id="rIdyvoowskqoiwovf_folnan" Type="http://schemas.openxmlformats.org/officeDocument/2006/relationships/hyperlink" Target="https://drive.google.com/drive/folders/14pTgorZIGEZ9FrJGlmhaLy6Eh1o5FdFj" TargetMode="External"/><Relationship Id="rIdzwhjcbbik3qu0_olvz8ga" Type="http://schemas.openxmlformats.org/officeDocument/2006/relationships/hyperlink" Target="https://github.com/Knoweb/COOP_ERP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2026-09-17T21:29:03.051Z</dcterms:created>
  <dcterms:modified xsi:type="dcterms:W3CDTF">2026-09-17T21:29:03.052Z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