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2A7F8F"/>
          <w:sz w:val="18"/>
          <w:szCs w:val="18"/>
        </w:rPr>
        <w:t xml:space="preserve">Cooperative Retail and Distribution System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4304A"/>
          <w:sz w:val="30"/>
          <w:szCs w:val="30"/>
        </w:rPr>
        <w:t xml:space="preserve">03 – Document State Machines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A6470"/>
          <w:sz w:val="18"/>
          <w:szCs w:val="18"/>
        </w:rPr>
        <w:t xml:space="preserve">Baseline requirements package — document 3 of 10</w:t>
      </w:r>
    </w:p>
    <w:tbl>
      <w:tblPr>
        <w:tblW w:type="dxa" w:w="9300"/>
        <w:tblBorders>
          <w:top w:val="single" w:color="2A7F8F" w:sz="14"/>
          <w:left w:val="single" w:color="B8C4CC" w:sz="4"/>
          <w:bottom w:val="single" w:color="B8C4CC" w:sz="4"/>
          <w:right w:val="single" w:color="B8C4CC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EEF3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4304A"/>
                <w:sz w:val="18"/>
                <w:szCs w:val="18"/>
              </w:rPr>
              <w:t xml:space="preserve">This is the highest-value artifact in the package. The system is, at its core, a set of document lifecycles — this document defines every one of them precisely enough to build against.</w:t>
            </w:r>
          </w:p>
        </w:tc>
      </w:tr>
    </w:tbl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4304A"/>
          <w:sz w:val="25"/>
          <w:szCs w:val="25"/>
        </w:rPr>
        <w:t xml:space="preserve">1. Governing rules (apply to every state machine below)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Immutability: </w:t>
      </w:r>
      <w:r>
        <w:rPr>
          <w:rFonts w:ascii="Arial" w:cs="Arial" w:eastAsia="Arial" w:hAnsi="Arial"/>
          <w:sz w:val="19"/>
          <w:szCs w:val="19"/>
        </w:rPr>
        <w:t xml:space="preserve">a document is final at issuance and is never renumbered, edited, or deleted. Correction is always a new, linked document.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Void ≠ delete: </w:t>
      </w:r>
      <w:r>
        <w:rPr>
          <w:rFonts w:ascii="Arial" w:cs="Arial" w:eastAsia="Arial" w:hAnsi="Arial"/>
          <w:sz w:val="19"/>
          <w:szCs w:val="19"/>
        </w:rPr>
        <w:t xml:space="preserve">a voided document keeps its number; void is a status, not a deletion.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Drafts consume no numbers: </w:t>
      </w:r>
      <w:r>
        <w:rPr>
          <w:rFonts w:ascii="Arial" w:cs="Arial" w:eastAsia="Arial" w:hAnsi="Arial"/>
          <w:sz w:val="19"/>
          <w:szCs w:val="19"/>
        </w:rPr>
        <w:t xml:space="preserve">a document has no number until it is actually issued or printed. Parked or abandoned drafts consume no series position.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Every transition is audited: </w:t>
      </w:r>
      <w:r>
        <w:rPr>
          <w:rFonts w:ascii="Arial" w:cs="Arial" w:eastAsia="Arial" w:hAnsi="Arial"/>
          <w:sz w:val="19"/>
          <w:szCs w:val="19"/>
        </w:rPr>
        <w:t xml:space="preserve">every state transition that is privileged (override, approval, reversal) is written to the immutable audit trail with the acting user and role.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2. Order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9"/>
          <w:szCs w:val="19"/>
        </w:rPr>
        <w:t xml:space="preserve">Raised by a buying entity (or by a shop, routed via its MPCS) against a selling entity it holds a trading relationship with.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2200"/>
        <w:gridCol w:w="2300"/>
      </w:tblGrid>
      <w:tr>
        <w:trPr>
          <w:tblHeader/>
        </w:trPr>
        <w:tc>
          <w:tcPr>
            <w:tcW w:type="dxa" w:w="15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State</w:t>
            </w:r>
          </w:p>
        </w:tc>
        <w:tc>
          <w:tcPr>
            <w:tcW w:type="dxa" w:w="3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Entered when</w:t>
            </w:r>
          </w:p>
        </w:tc>
        <w:tc>
          <w:tcPr>
            <w:tcW w:type="dxa" w:w="22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may transition</w:t>
            </w:r>
          </w:p>
        </w:tc>
        <w:tc>
          <w:tcPr>
            <w:tcW w:type="dxa" w:w="2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Exits to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Draft</w:t>
            </w:r>
          </w:p>
        </w:tc>
        <w:tc>
          <w:tcPr>
            <w:tcW w:type="dxa" w:w="3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Buyer begins composing the order.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Buyer (any permitted role)</w:t>
            </w:r>
          </w:p>
        </w:tc>
        <w:tc>
          <w:tcPr>
            <w:tcW w:type="dxa" w:w="2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Submitted, or discarded</w:t>
            </w:r>
          </w:p>
        </w:tc>
      </w:tr>
      <w:tr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Submitted</w:t>
            </w:r>
          </w:p>
        </w:tc>
        <w:tc>
          <w:tcPr>
            <w:tcW w:type="dxa" w:w="3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Buyer submits the order.</w:t>
            </w:r>
          </w:p>
        </w:tc>
        <w:tc>
          <w:tcPr>
            <w:tcW w:type="dxa" w:w="22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Seller</w:t>
            </w:r>
          </w:p>
        </w:tc>
        <w:tc>
          <w:tcPr>
            <w:tcW w:type="dxa" w:w="2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Accepted, Rejected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Accepted</w:t>
            </w:r>
          </w:p>
        </w:tc>
        <w:tc>
          <w:tcPr>
            <w:tcW w:type="dxa" w:w="3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Seller accepts, in full or in part; sets an indicative ETA.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Seller; allocation rule applied automatically if stock is short</w:t>
            </w:r>
          </w:p>
        </w:tc>
        <w:tc>
          <w:tcPr>
            <w:tcW w:type="dxa" w:w="2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Locked, Amended, Cancelled</w:t>
            </w:r>
          </w:p>
        </w:tc>
      </w:tr>
      <w:tr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Locked</w:t>
            </w:r>
          </w:p>
        </w:tc>
        <w:tc>
          <w:tcPr>
            <w:tcW w:type="dxa" w:w="3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 configurable window before ETA is reached (seller policy, overridable per order).</w:t>
            </w:r>
          </w:p>
        </w:tc>
        <w:tc>
          <w:tcPr>
            <w:tcW w:type="dxa" w:w="22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System; override by permitted role</w:t>
            </w:r>
          </w:p>
        </w:tc>
        <w:tc>
          <w:tcPr>
            <w:tcW w:type="dxa" w:w="2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Dispatched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Dispatched</w:t>
            </w:r>
          </w:p>
        </w:tc>
        <w:tc>
          <w:tcPr>
            <w:tcW w:type="dxa" w:w="3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First delivery note is raised against the order.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Seller (warehouse role)</w:t>
            </w:r>
          </w:p>
        </w:tc>
        <w:tc>
          <w:tcPr>
            <w:tcW w:type="dxa" w:w="2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Partially fulfilled, Closed</w:t>
            </w:r>
          </w:p>
        </w:tc>
      </w:tr>
      <w:tr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Partially fulfilled</w:t>
            </w:r>
          </w:p>
        </w:tc>
        <w:tc>
          <w:tcPr>
            <w:tcW w:type="dxa" w:w="3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Some but not all lines/quantity delivered; remainder stays open as backorder.</w:t>
            </w:r>
          </w:p>
        </w:tc>
        <w:tc>
          <w:tcPr>
            <w:tcW w:type="dxa" w:w="22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Seller</w:t>
            </w:r>
          </w:p>
        </w:tc>
        <w:tc>
          <w:tcPr>
            <w:tcW w:type="dxa" w:w="2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Dispatched (further drops), Closed, Cancelled (remainder)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Closed</w:t>
            </w:r>
          </w:p>
        </w:tc>
        <w:tc>
          <w:tcPr>
            <w:tcW w:type="dxa" w:w="3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lines fulfilled and GRNs raised, or buyer accepts partial as final.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System on last GRN, or buyer manually</w:t>
            </w:r>
          </w:p>
        </w:tc>
        <w:tc>
          <w:tcPr>
            <w:tcW w:type="dxa" w:w="2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 terminal</w:t>
            </w:r>
          </w:p>
        </w:tc>
      </w:tr>
      <w:tr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Cancelled / Rejected</w:t>
            </w:r>
          </w:p>
        </w:tc>
        <w:tc>
          <w:tcPr>
            <w:tcW w:type="dxa" w:w="3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Buyer cancels before lock, or seller rejects at submission.</w:t>
            </w:r>
          </w:p>
        </w:tc>
        <w:tc>
          <w:tcPr>
            <w:tcW w:type="dxa" w:w="22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Buyer (before lock) / Seller</w:t>
            </w:r>
          </w:p>
        </w:tc>
        <w:tc>
          <w:tcPr>
            <w:tcW w:type="dxa" w:w="2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 terminal</w:t>
            </w:r>
          </w:p>
        </w:tc>
      </w:tr>
    </w:tbl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7"/>
          <w:szCs w:val="17"/>
        </w:rPr>
        <w:t xml:space="preserve">Numbering: Back-office series, per selling entity, online-only (orders are never created offline).</w:t>
      </w:r>
    </w:p>
    <w:p>
      <w:pPr>
        <w:spacing w:after="1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3. Delivery note / dispatch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9"/>
          <w:szCs w:val="19"/>
        </w:rPr>
        <w:t xml:space="preserve">One order may generate several delivery notes (partial fulfilment, or multiple drops from one vehicle for a direct-to-shop delivery).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2200"/>
        <w:gridCol w:w="2300"/>
      </w:tblGrid>
      <w:tr>
        <w:trPr>
          <w:tblHeader/>
        </w:trPr>
        <w:tc>
          <w:tcPr>
            <w:tcW w:type="dxa" w:w="15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State</w:t>
            </w:r>
          </w:p>
        </w:tc>
        <w:tc>
          <w:tcPr>
            <w:tcW w:type="dxa" w:w="3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Entered when</w:t>
            </w:r>
          </w:p>
        </w:tc>
        <w:tc>
          <w:tcPr>
            <w:tcW w:type="dxa" w:w="22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may transition</w:t>
            </w:r>
          </w:p>
        </w:tc>
        <w:tc>
          <w:tcPr>
            <w:tcW w:type="dxa" w:w="2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Exits to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Created</w:t>
            </w:r>
          </w:p>
        </w:tc>
        <w:tc>
          <w:tcPr>
            <w:tcW w:type="dxa" w:w="3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Seller's warehouse picks and packs against an accepted order.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Seller (warehouse role)</w:t>
            </w:r>
          </w:p>
        </w:tc>
        <w:tc>
          <w:tcPr>
            <w:tcW w:type="dxa" w:w="2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 transit</w:t>
            </w:r>
          </w:p>
        </w:tc>
      </w:tr>
      <w:tr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 transit</w:t>
            </w:r>
          </w:p>
        </w:tc>
        <w:tc>
          <w:tcPr>
            <w:tcW w:type="dxa" w:w="3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Vehicle departs. Risk of loss sits with the seller until GRN signature.</w:t>
            </w:r>
          </w:p>
        </w:tc>
        <w:tc>
          <w:tcPr>
            <w:tcW w:type="dxa" w:w="22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Seller; driver via mobile app or paper POD</w:t>
            </w:r>
          </w:p>
        </w:tc>
        <w:tc>
          <w:tcPr>
            <w:tcW w:type="dxa" w:w="2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Delivered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Delivered</w:t>
            </w:r>
          </w:p>
        </w:tc>
        <w:tc>
          <w:tcPr>
            <w:tcW w:type="dxa" w:w="3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Receiving party signs — triggers GRN creation.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Receiving entity or shop staff (on behalf of its MPCS for direct drops)</w:t>
            </w:r>
          </w:p>
        </w:tc>
        <w:tc>
          <w:tcPr>
            <w:tcW w:type="dxa" w:w="2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 leads into GRN</w:t>
            </w:r>
          </w:p>
        </w:tc>
      </w:tr>
    </w:tbl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7"/>
          <w:szCs w:val="17"/>
        </w:rPr>
        <w:t xml:space="preserve">Numbering: Back-office series per selling entity. One delivery note may cover several GRNs (multi-drop).</w:t>
      </w:r>
    </w:p>
    <w:p>
      <w:pPr>
        <w:spacing w:after="1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4. Goods received note (GRN)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9"/>
          <w:szCs w:val="19"/>
        </w:rPr>
        <w:t xml:space="preserve">The pivot of the whole ownership model: ownership and risk transfer to the receiving party at GRN confirmation, never before.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2200"/>
        <w:gridCol w:w="2300"/>
      </w:tblGrid>
      <w:tr>
        <w:trPr>
          <w:tblHeader/>
        </w:trPr>
        <w:tc>
          <w:tcPr>
            <w:tcW w:type="dxa" w:w="15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State</w:t>
            </w:r>
          </w:p>
        </w:tc>
        <w:tc>
          <w:tcPr>
            <w:tcW w:type="dxa" w:w="3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Entered when</w:t>
            </w:r>
          </w:p>
        </w:tc>
        <w:tc>
          <w:tcPr>
            <w:tcW w:type="dxa" w:w="22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may transition</w:t>
            </w:r>
          </w:p>
        </w:tc>
        <w:tc>
          <w:tcPr>
            <w:tcW w:type="dxa" w:w="2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Exits to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Draft (offline-capable)</w:t>
            </w:r>
          </w:p>
        </w:tc>
        <w:tc>
          <w:tcPr>
            <w:tcW w:type="dxa" w:w="3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Receiving staff count what actually arrived. Works fully offline at a shop.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Receiving entity or shop staff</w:t>
            </w:r>
          </w:p>
        </w:tc>
        <w:tc>
          <w:tcPr>
            <w:tcW w:type="dxa" w:w="2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Confirmed</w:t>
            </w:r>
          </w:p>
        </w:tc>
      </w:tr>
      <w:tr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Confirmed</w:t>
            </w:r>
          </w:p>
        </w:tc>
        <w:tc>
          <w:tcPr>
            <w:tcW w:type="dxa" w:w="3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Counted quantity matches, or receiving party accepts the variance and records actuals.</w:t>
            </w:r>
          </w:p>
        </w:tc>
        <w:tc>
          <w:tcPr>
            <w:tcW w:type="dxa" w:w="22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Receiving staff</w:t>
            </w:r>
          </w:p>
        </w:tc>
        <w:tc>
          <w:tcPr>
            <w:tcW w:type="dxa" w:w="2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Closed, or Discrepancy raised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Discrepancy raised</w:t>
            </w:r>
          </w:p>
        </w:tc>
        <w:tc>
          <w:tcPr>
            <w:tcW w:type="dxa" w:w="3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Received quantity differs from dispatched quantity.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Receiving staff; investigated by relevant parties plus federation</w:t>
            </w:r>
          </w:p>
        </w:tc>
        <w:tc>
          <w:tcPr>
            <w:tcW w:type="dxa" w:w="2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Resolved → Closed</w:t>
            </w:r>
          </w:p>
        </w:tc>
      </w:tr>
      <w:tr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Closed</w:t>
            </w:r>
          </w:p>
        </w:tc>
        <w:tc>
          <w:tcPr>
            <w:tcW w:type="dxa" w:w="3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Ownership confirmed transferred. Invoice may now be raised by the seller.</w:t>
            </w:r>
          </w:p>
        </w:tc>
        <w:tc>
          <w:tcPr>
            <w:tcW w:type="dxa" w:w="22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System</w:t>
            </w:r>
          </w:p>
        </w:tc>
        <w:tc>
          <w:tcPr>
            <w:tcW w:type="dxa" w:w="2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 terminal, feeds Invoice</w:t>
            </w:r>
          </w:p>
        </w:tc>
      </w:tr>
    </w:tbl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7"/>
          <w:szCs w:val="17"/>
        </w:rPr>
        <w:t xml:space="preserve">Numbering: Till/shop series if captured at a shop offline; syncs to central on reconnect with the sync-completeness check applying.</w:t>
      </w:r>
    </w:p>
    <w:p>
      <w:pPr>
        <w:spacing w:after="160"/>
      </w:pPr>
    </w:p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5. Invoice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9"/>
          <w:szCs w:val="19"/>
        </w:rPr>
        <w:t xml:space="preserve">Immutable. Never edited once issued — the only way to change an invoiced amount is a credit or debit note.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2200"/>
        <w:gridCol w:w="2300"/>
      </w:tblGrid>
      <w:tr>
        <w:trPr>
          <w:tblHeader/>
        </w:trPr>
        <w:tc>
          <w:tcPr>
            <w:tcW w:type="dxa" w:w="15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State</w:t>
            </w:r>
          </w:p>
        </w:tc>
        <w:tc>
          <w:tcPr>
            <w:tcW w:type="dxa" w:w="3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Entered when</w:t>
            </w:r>
          </w:p>
        </w:tc>
        <w:tc>
          <w:tcPr>
            <w:tcW w:type="dxa" w:w="22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may transition</w:t>
            </w:r>
          </w:p>
        </w:tc>
        <w:tc>
          <w:tcPr>
            <w:tcW w:type="dxa" w:w="2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Exits to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Issued</w:t>
            </w:r>
          </w:p>
        </w:tc>
        <w:tc>
          <w:tcPr>
            <w:tcW w:type="dxa" w:w="3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Seller raises the invoice against a closed GRN (or a set of GRNs).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Seller (back office, online only)</w:t>
            </w:r>
          </w:p>
        </w:tc>
        <w:tc>
          <w:tcPr>
            <w:tcW w:type="dxa" w:w="2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 terminal; open until settled</w:t>
            </w:r>
          </w:p>
        </w:tc>
      </w:tr>
      <w:tr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Settled</w:t>
            </w:r>
          </w:p>
        </w:tc>
        <w:tc>
          <w:tcPr>
            <w:tcW w:type="dxa" w:w="3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 tracking status, not a state transition: reached when linked payment receipts + credit notes reduce this invoice's contribution to exposure to zero. The invoice document itself does not change.</w:t>
            </w:r>
          </w:p>
        </w:tc>
        <w:tc>
          <w:tcPr>
            <w:tcW w:type="dxa" w:w="22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System (derived)</w:t>
            </w:r>
          </w:p>
        </w:tc>
        <w:tc>
          <w:tcPr>
            <w:tcW w:type="dxa" w:w="2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</w:tr>
    </w:tbl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7"/>
          <w:szCs w:val="17"/>
        </w:rPr>
        <w:t xml:space="preserve">Numbering: One gapless series per entity per document type, online-only.</w:t>
      </w:r>
    </w:p>
    <w:p>
      <w:pPr>
        <w:spacing w:after="1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6. Credit note / debit note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9"/>
          <w:szCs w:val="19"/>
        </w:rPr>
        <w:t xml:space="preserve">Corrects a prior invoice — for a claim outcome, a pricing error, or a return.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2200"/>
        <w:gridCol w:w="2300"/>
      </w:tblGrid>
      <w:tr>
        <w:trPr>
          <w:tblHeader/>
        </w:trPr>
        <w:tc>
          <w:tcPr>
            <w:tcW w:type="dxa" w:w="15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State</w:t>
            </w:r>
          </w:p>
        </w:tc>
        <w:tc>
          <w:tcPr>
            <w:tcW w:type="dxa" w:w="3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Entered when</w:t>
            </w:r>
          </w:p>
        </w:tc>
        <w:tc>
          <w:tcPr>
            <w:tcW w:type="dxa" w:w="22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may transition</w:t>
            </w:r>
          </w:p>
        </w:tc>
        <w:tc>
          <w:tcPr>
            <w:tcW w:type="dxa" w:w="2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Exits to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Issued</w:t>
            </w:r>
          </w:p>
        </w:tc>
        <w:tc>
          <w:tcPr>
            <w:tcW w:type="dxa" w:w="3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Raised by the issuing entity, referencing the original invoice and a reason code.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Permitted role at issuing entity</w:t>
            </w:r>
          </w:p>
        </w:tc>
        <w:tc>
          <w:tcPr>
            <w:tcW w:type="dxa" w:w="2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 terminal</w:t>
            </w:r>
          </w:p>
        </w:tc>
      </w:tr>
    </w:tbl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7"/>
          <w:szCs w:val="17"/>
        </w:rPr>
        <w:t xml:space="preserve">Numbering: Same series family as invoices, per entity per document type.</w:t>
      </w:r>
    </w:p>
    <w:p>
      <w:pPr>
        <w:spacing w:after="1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7. Payment receipt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9"/>
          <w:szCs w:val="19"/>
        </w:rPr>
        <w:t xml:space="preserve">Recorded by the seller only; buyer views and may dispute. Never processes an actual payment.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2200"/>
        <w:gridCol w:w="2300"/>
      </w:tblGrid>
      <w:tr>
        <w:trPr>
          <w:tblHeader/>
        </w:trPr>
        <w:tc>
          <w:tcPr>
            <w:tcW w:type="dxa" w:w="15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State</w:t>
            </w:r>
          </w:p>
        </w:tc>
        <w:tc>
          <w:tcPr>
            <w:tcW w:type="dxa" w:w="3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Entered when</w:t>
            </w:r>
          </w:p>
        </w:tc>
        <w:tc>
          <w:tcPr>
            <w:tcW w:type="dxa" w:w="22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may transition</w:t>
            </w:r>
          </w:p>
        </w:tc>
        <w:tc>
          <w:tcPr>
            <w:tcW w:type="dxa" w:w="2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Exits to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Posted</w:t>
            </w:r>
          </w:p>
        </w:tc>
        <w:tc>
          <w:tcPr>
            <w:tcW w:type="dxa" w:w="3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Seller records “Rs X received against invoice Y”, with method (cash / bank deposit / cheque).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Permission-gated role at seller</w:t>
            </w:r>
          </w:p>
        </w:tc>
        <w:tc>
          <w:tcPr>
            <w:tcW w:type="dxa" w:w="2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Disputed, or stands</w:t>
            </w:r>
          </w:p>
        </w:tc>
      </w:tr>
      <w:tr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Disputed</w:t>
            </w:r>
          </w:p>
        </w:tc>
        <w:tc>
          <w:tcPr>
            <w:tcW w:type="dxa" w:w="3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Buyer flags the receipt as incorrect via their statement view.</w:t>
            </w:r>
          </w:p>
        </w:tc>
        <w:tc>
          <w:tcPr>
            <w:tcW w:type="dxa" w:w="22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Buyer</w:t>
            </w:r>
          </w:p>
        </w:tc>
        <w:tc>
          <w:tcPr>
            <w:tcW w:type="dxa" w:w="2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Resolved manually (outside system) → stands, or seller reverses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Reversed</w:t>
            </w:r>
          </w:p>
        </w:tc>
        <w:tc>
          <w:tcPr>
            <w:tcW w:type="dxa" w:w="3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Seller (or permitted role) reverses a wrong or bounced receipt via a compensating document.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Permission-gated role</w:t>
            </w:r>
          </w:p>
        </w:tc>
        <w:tc>
          <w:tcPr>
            <w:tcW w:type="dxa" w:w="2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 terminal; exposure restored</w:t>
            </w:r>
          </w:p>
        </w:tc>
      </w:tr>
    </w:tbl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7"/>
          <w:szCs w:val="17"/>
        </w:rPr>
        <w:t xml:space="preserve">Numbering: Back-office series per entity. Cheques carry the same lifecycle with one extra state (below).</w:t>
      </w:r>
    </w:p>
    <w:p>
      <w:pPr>
        <w:spacing w:after="1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7a. Cheque (payment receipt sub-type)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2200"/>
        <w:gridCol w:w="2300"/>
      </w:tblGrid>
      <w:tr>
        <w:trPr>
          <w:tblHeader/>
        </w:trPr>
        <w:tc>
          <w:tcPr>
            <w:tcW w:type="dxa" w:w="15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State</w:t>
            </w:r>
          </w:p>
        </w:tc>
        <w:tc>
          <w:tcPr>
            <w:tcW w:type="dxa" w:w="3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Entered when</w:t>
            </w:r>
          </w:p>
        </w:tc>
        <w:tc>
          <w:tcPr>
            <w:tcW w:type="dxa" w:w="22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may transition</w:t>
            </w:r>
          </w:p>
        </w:tc>
        <w:tc>
          <w:tcPr>
            <w:tcW w:type="dxa" w:w="2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Exits to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Received</w:t>
            </w:r>
          </w:p>
        </w:tc>
        <w:tc>
          <w:tcPr>
            <w:tcW w:type="dxa" w:w="3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Cheque recorded against an invoice. Headroom released provisionally.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Seller</w:t>
            </w:r>
          </w:p>
        </w:tc>
        <w:tc>
          <w:tcPr>
            <w:tcW w:type="dxa" w:w="2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Cleared, or Bounced</w:t>
            </w:r>
          </w:p>
        </w:tc>
      </w:tr>
      <w:tr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Cleared</w:t>
            </w:r>
          </w:p>
        </w:tc>
        <w:tc>
          <w:tcPr>
            <w:tcW w:type="dxa" w:w="3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Bank confirms clearance (recorded manually until accounting integration).</w:t>
            </w:r>
          </w:p>
        </w:tc>
        <w:tc>
          <w:tcPr>
            <w:tcW w:type="dxa" w:w="22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Seller / accounts role</w:t>
            </w:r>
          </w:p>
        </w:tc>
        <w:tc>
          <w:tcPr>
            <w:tcW w:type="dxa" w:w="2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 terminal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Bounced</w:t>
            </w:r>
          </w:p>
        </w:tc>
        <w:tc>
          <w:tcPr>
            <w:tcW w:type="dxa" w:w="3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Cheque returned unpaid.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Seller / accounts role</w:t>
            </w:r>
          </w:p>
        </w:tc>
        <w:tc>
          <w:tcPr>
            <w:tcW w:type="dxa" w:w="2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Reversed (restores exposure) + relationship flagged</w:t>
            </w:r>
          </w:p>
        </w:tc>
      </w:tr>
    </w:tbl>
    <w:p>
      <w:pPr>
        <w:spacing w:after="1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8. Claim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9"/>
          <w:szCs w:val="19"/>
        </w:rPr>
        <w:t xml:space="preserve">Covers damage, shortage, or dispute against a delivery or a batch.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2200"/>
        <w:gridCol w:w="2300"/>
      </w:tblGrid>
      <w:tr>
        <w:trPr>
          <w:tblHeader/>
        </w:trPr>
        <w:tc>
          <w:tcPr>
            <w:tcW w:type="dxa" w:w="15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State</w:t>
            </w:r>
          </w:p>
        </w:tc>
        <w:tc>
          <w:tcPr>
            <w:tcW w:type="dxa" w:w="3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Entered when</w:t>
            </w:r>
          </w:p>
        </w:tc>
        <w:tc>
          <w:tcPr>
            <w:tcW w:type="dxa" w:w="22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may transition</w:t>
            </w:r>
          </w:p>
        </w:tc>
        <w:tc>
          <w:tcPr>
            <w:tcW w:type="dxa" w:w="2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Exits to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Raised</w:t>
            </w:r>
          </w:p>
        </w:tc>
        <w:tc>
          <w:tcPr>
            <w:tcW w:type="dxa" w:w="3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Claimant records the issue with photographic evidence.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Receiving entity/shop</w:t>
            </w:r>
          </w:p>
        </w:tc>
        <w:tc>
          <w:tcPr>
            <w:tcW w:type="dxa" w:w="2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Under inspection</w:t>
            </w:r>
          </w:p>
        </w:tc>
      </w:tr>
      <w:tr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Under inspection</w:t>
            </w:r>
          </w:p>
        </w:tc>
        <w:tc>
          <w:tcPr>
            <w:tcW w:type="dxa" w:w="3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Counterparty investigates.</w:t>
            </w:r>
          </w:p>
        </w:tc>
        <w:tc>
          <w:tcPr>
            <w:tcW w:type="dxa" w:w="22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Responsible party + federation if unresolved</w:t>
            </w:r>
          </w:p>
        </w:tc>
        <w:tc>
          <w:tcPr>
            <w:tcW w:type="dxa" w:w="2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Approved, Rejected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Approved</w:t>
            </w:r>
          </w:p>
        </w:tc>
        <w:tc>
          <w:tcPr>
            <w:tcW w:type="dxa" w:w="3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Claim accepted — triggers a credit note.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Permitted role at responsible entity</w:t>
            </w:r>
          </w:p>
        </w:tc>
        <w:tc>
          <w:tcPr>
            <w:tcW w:type="dxa" w:w="2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 leads to Credit note</w:t>
            </w:r>
          </w:p>
        </w:tc>
      </w:tr>
      <w:tr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Rejected</w:t>
            </w:r>
          </w:p>
        </w:tc>
        <w:tc>
          <w:tcPr>
            <w:tcW w:type="dxa" w:w="3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Claim disputed; resolved bilaterally outside the system.</w:t>
            </w:r>
          </w:p>
        </w:tc>
        <w:tc>
          <w:tcPr>
            <w:tcW w:type="dxa" w:w="22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Responsible entity</w:t>
            </w:r>
          </w:p>
        </w:tc>
        <w:tc>
          <w:tcPr>
            <w:tcW w:type="dxa" w:w="2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 terminal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9. Repack transaction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9"/>
          <w:szCs w:val="19"/>
        </w:rPr>
        <w:t xml:space="preserve">Transforms bulk stock into a new retail SKU per a predefined recipe. Ad-hoc conversion without a recipe requires a higher permission and is flagged on the exception report.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2200"/>
        <w:gridCol w:w="2300"/>
      </w:tblGrid>
      <w:tr>
        <w:trPr>
          <w:tblHeader/>
        </w:trPr>
        <w:tc>
          <w:tcPr>
            <w:tcW w:type="dxa" w:w="15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State</w:t>
            </w:r>
          </w:p>
        </w:tc>
        <w:tc>
          <w:tcPr>
            <w:tcW w:type="dxa" w:w="3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Entered when</w:t>
            </w:r>
          </w:p>
        </w:tc>
        <w:tc>
          <w:tcPr>
            <w:tcW w:type="dxa" w:w="22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may transition</w:t>
            </w:r>
          </w:p>
        </w:tc>
        <w:tc>
          <w:tcPr>
            <w:tcW w:type="dxa" w:w="2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Exits to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Executed</w:t>
            </w:r>
          </w:p>
        </w:tc>
        <w:tc>
          <w:tcPr>
            <w:tcW w:type="dxa" w:w="3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Input batch(es) consumed, output batch created, yield variance recorded against the recipe's expectation.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Permitted warehouse/shop role</w:t>
            </w:r>
          </w:p>
        </w:tc>
        <w:tc>
          <w:tcPr>
            <w:tcW w:type="dxa" w:w="2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 terminal, or Reversed</w:t>
            </w:r>
          </w:p>
        </w:tc>
      </w:tr>
      <w:tr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Reversed</w:t>
            </w:r>
          </w:p>
        </w:tc>
        <w:tc>
          <w:tcPr>
            <w:tcW w:type="dxa" w:w="3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Permission-gated, and only while the output batch is still unsold in full or in part.</w:t>
            </w:r>
          </w:p>
        </w:tc>
        <w:tc>
          <w:tcPr>
            <w:tcW w:type="dxa" w:w="22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Higher-permission role</w:t>
            </w:r>
          </w:p>
        </w:tc>
        <w:tc>
          <w:tcPr>
            <w:tcW w:type="dxa" w:w="2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 terminal; restores input, removes output</w:t>
            </w:r>
          </w:p>
        </w:tc>
      </w:tr>
    </w:tbl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7"/>
          <w:szCs w:val="17"/>
        </w:rPr>
        <w:t xml:space="preserve">Numbering: No document number of its own — a stock-ledger event referencing the recipe used.</w:t>
      </w:r>
    </w:p>
    <w:p>
      <w:pPr>
        <w:spacing w:after="1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10. Stock adjustment (count variance)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2200"/>
        <w:gridCol w:w="2300"/>
      </w:tblGrid>
      <w:tr>
        <w:trPr>
          <w:tblHeader/>
        </w:trPr>
        <w:tc>
          <w:tcPr>
            <w:tcW w:type="dxa" w:w="15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State</w:t>
            </w:r>
          </w:p>
        </w:tc>
        <w:tc>
          <w:tcPr>
            <w:tcW w:type="dxa" w:w="3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Entered when</w:t>
            </w:r>
          </w:p>
        </w:tc>
        <w:tc>
          <w:tcPr>
            <w:tcW w:type="dxa" w:w="22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may transition</w:t>
            </w:r>
          </w:p>
        </w:tc>
        <w:tc>
          <w:tcPr>
            <w:tcW w:type="dxa" w:w="2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Exits to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Raised</w:t>
            </w:r>
          </w:p>
        </w:tc>
        <w:tc>
          <w:tcPr>
            <w:tcW w:type="dxa" w:w="3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 physical count finds a variance against system stock.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Counting staff</w:t>
            </w:r>
          </w:p>
        </w:tc>
        <w:tc>
          <w:tcPr>
            <w:tcW w:type="dxa" w:w="2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Pending approval</w:t>
            </w:r>
          </w:p>
        </w:tc>
      </w:tr>
      <w:tr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Pending approval</w:t>
            </w:r>
          </w:p>
        </w:tc>
        <w:tc>
          <w:tcPr>
            <w:tcW w:type="dxa" w:w="3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Escalated by value threshold, configurable per SKU or SKU tag.</w:t>
            </w:r>
          </w:p>
        </w:tc>
        <w:tc>
          <w:tcPr>
            <w:tcW w:type="dxa" w:w="22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System routes by threshold</w:t>
            </w:r>
          </w:p>
        </w:tc>
        <w:tc>
          <w:tcPr>
            <w:tcW w:type="dxa" w:w="2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Approved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Approved</w:t>
            </w:r>
          </w:p>
        </w:tc>
        <w:tc>
          <w:tcPr>
            <w:tcW w:type="dxa" w:w="3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Adjustment posted to the stock ledger.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MPCS chairman / accountant, or configured approver</w:t>
            </w:r>
          </w:p>
        </w:tc>
        <w:tc>
          <w:tcPr>
            <w:tcW w:type="dxa" w:w="2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 terminal</w:t>
            </w:r>
          </w:p>
        </w:tc>
      </w:tr>
    </w:tbl>
    <w:p>
      <w:pPr>
        <w:spacing w:after="1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11. Write-off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9"/>
          <w:szCs w:val="19"/>
        </w:rPr>
        <w:t xml:space="preserve">The highest-fraud-risk lifecycle in the system — dual control is mandatory.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2200"/>
        <w:gridCol w:w="2300"/>
      </w:tblGrid>
      <w:tr>
        <w:trPr>
          <w:tblHeader/>
        </w:trPr>
        <w:tc>
          <w:tcPr>
            <w:tcW w:type="dxa" w:w="15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State</w:t>
            </w:r>
          </w:p>
        </w:tc>
        <w:tc>
          <w:tcPr>
            <w:tcW w:type="dxa" w:w="3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Entered when</w:t>
            </w:r>
          </w:p>
        </w:tc>
        <w:tc>
          <w:tcPr>
            <w:tcW w:type="dxa" w:w="22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may transition</w:t>
            </w:r>
          </w:p>
        </w:tc>
        <w:tc>
          <w:tcPr>
            <w:tcW w:type="dxa" w:w="2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Exits to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Requested</w:t>
            </w:r>
          </w:p>
        </w:tc>
        <w:tc>
          <w:tcPr>
            <w:tcW w:type="dxa" w:w="3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Staff request disposal of loss/damage/expiry stock.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Requesting role (may capture offline as a draft)</w:t>
            </w:r>
          </w:p>
        </w:tc>
        <w:tc>
          <w:tcPr>
            <w:tcW w:type="dxa" w:w="2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Awaiting witness</w:t>
            </w:r>
          </w:p>
        </w:tc>
      </w:tr>
      <w:tr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Awaiting witness</w:t>
            </w:r>
          </w:p>
        </w:tc>
        <w:tc>
          <w:tcPr>
            <w:tcW w:type="dxa" w:w="3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Physical verification with, where practical, a photograph.</w:t>
            </w:r>
          </w:p>
        </w:tc>
        <w:tc>
          <w:tcPr>
            <w:tcW w:type="dxa" w:w="22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 different person from the requester</w:t>
            </w:r>
          </w:p>
        </w:tc>
        <w:tc>
          <w:tcPr>
            <w:tcW w:type="dxa" w:w="2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Approved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Approved</w:t>
            </w:r>
          </w:p>
        </w:tc>
        <w:tc>
          <w:tcPr>
            <w:tcW w:type="dxa" w:w="3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 different, permitted role approves; requester ≠ approver enforced (segregation of duties).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Approving role, online</w:t>
            </w:r>
          </w:p>
        </w:tc>
        <w:tc>
          <w:tcPr>
            <w:tcW w:type="dxa" w:w="2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 terminal; stock removed</w:t>
            </w:r>
          </w:p>
        </w:tc>
      </w:tr>
    </w:tbl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7"/>
          <w:szCs w:val="17"/>
        </w:rPr>
        <w:t xml:space="preserve">Numbering: Offline write-offs are captured as drafts and require online approval before posting.</w:t>
      </w:r>
    </w:p>
    <w:p>
      <w:pPr>
        <w:spacing w:after="1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12. Discount / markdown rule</w:t>
      </w:r>
    </w:p>
    <w:p>
      <w:pPr>
        <w:spacing w:after="110" w:line="272"/>
        <w:jc w:val="both"/>
      </w:pPr>
      <w:r>
        <w:rPr>
          <w:rFonts w:ascii="Arial" w:cs="Arial" w:eastAsia="Arial" w:hAnsi="Arial"/>
          <w:sz w:val="19"/>
          <w:szCs w:val="19"/>
        </w:rPr>
        <w:t xml:space="preserve">The sole mechanism for any price reduction anywhere in the system — no discretionary discount exists at the point of sale.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2200"/>
        <w:gridCol w:w="2300"/>
      </w:tblGrid>
      <w:tr>
        <w:trPr>
          <w:tblHeader/>
        </w:trPr>
        <w:tc>
          <w:tcPr>
            <w:tcW w:type="dxa" w:w="15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State</w:t>
            </w:r>
          </w:p>
        </w:tc>
        <w:tc>
          <w:tcPr>
            <w:tcW w:type="dxa" w:w="3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Entered when</w:t>
            </w:r>
          </w:p>
        </w:tc>
        <w:tc>
          <w:tcPr>
            <w:tcW w:type="dxa" w:w="22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may transition</w:t>
            </w:r>
          </w:p>
        </w:tc>
        <w:tc>
          <w:tcPr>
            <w:tcW w:type="dxa" w:w="2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Exits to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Draft</w:t>
            </w:r>
          </w:p>
        </w:tc>
        <w:tc>
          <w:tcPr>
            <w:tcW w:type="dxa" w:w="3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MPCS (or federation, for markdown bands) defines target, trigger, benefit, validity.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Permitted pricing role</w:t>
            </w:r>
          </w:p>
        </w:tc>
        <w:tc>
          <w:tcPr>
            <w:tcW w:type="dxa" w:w="2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Active</w:t>
            </w:r>
          </w:p>
        </w:tc>
        <w:tc>
          <w:tcPr>
            <w:tcW w:type="dxa" w:w="3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Rule syncs to till caches and applies automatically within its validity window.</w:t>
            </w:r>
          </w:p>
        </w:tc>
        <w:tc>
          <w:tcPr>
            <w:tcW w:type="dxa" w:w="22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System, effective-dated</w:t>
            </w:r>
          </w:p>
        </w:tc>
        <w:tc>
          <w:tcPr>
            <w:tcW w:type="dxa" w:w="2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Expired, or Withdrawn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Expired</w:t>
            </w:r>
          </w:p>
        </w:tc>
        <w:tc>
          <w:tcPr>
            <w:tcW w:type="dxa" w:w="3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Validity window ends.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System</w:t>
            </w:r>
          </w:p>
        </w:tc>
        <w:tc>
          <w:tcPr>
            <w:tcW w:type="dxa" w:w="2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 terminal</w:t>
            </w:r>
          </w:p>
        </w:tc>
      </w:tr>
      <w:tr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Withdrawn</w:t>
            </w:r>
          </w:p>
        </w:tc>
        <w:tc>
          <w:tcPr>
            <w:tcW w:type="dxa" w:w="3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Manually ended early by a permitted role.</w:t>
            </w:r>
          </w:p>
        </w:tc>
        <w:tc>
          <w:tcPr>
            <w:tcW w:type="dxa" w:w="22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Permitted pricing role</w:t>
            </w:r>
          </w:p>
        </w:tc>
        <w:tc>
          <w:tcPr>
            <w:tcW w:type="dxa" w:w="2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 terminal</w:t>
            </w:r>
          </w:p>
        </w:tc>
      </w:tr>
    </w:tbl>
    <w:p>
      <w:pPr>
        <w:spacing w:after="1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13. Void (any till-issued document)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2200"/>
        <w:gridCol w:w="2300"/>
      </w:tblGrid>
      <w:tr>
        <w:trPr>
          <w:tblHeader/>
        </w:trPr>
        <w:tc>
          <w:tcPr>
            <w:tcW w:type="dxa" w:w="15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State</w:t>
            </w:r>
          </w:p>
        </w:tc>
        <w:tc>
          <w:tcPr>
            <w:tcW w:type="dxa" w:w="3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Entered when</w:t>
            </w:r>
          </w:p>
        </w:tc>
        <w:tc>
          <w:tcPr>
            <w:tcW w:type="dxa" w:w="22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may transition</w:t>
            </w:r>
          </w:p>
        </w:tc>
        <w:tc>
          <w:tcPr>
            <w:tcW w:type="dxa" w:w="23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Exits to</w:t>
            </w:r>
          </w:p>
        </w:tc>
      </w:tr>
      <w:tr>
        <w:tc>
          <w:tcPr>
            <w:tcW w:type="dxa" w:w="1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Active</w:t>
            </w:r>
          </w:p>
        </w:tc>
        <w:tc>
          <w:tcPr>
            <w:tcW w:type="dxa" w:w="3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Document issued in the normal course.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23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Void</w:t>
            </w:r>
          </w:p>
        </w:tc>
      </w:tr>
      <w:tr>
        <w:tc>
          <w:tcPr>
            <w:tcW w:type="dxa" w:w="1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Void</w:t>
            </w:r>
          </w:p>
        </w:tc>
        <w:tc>
          <w:tcPr>
            <w:tcW w:type="dxa" w:w="3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Cancelled after issue. The document keeps its number; a compensating record notes the void, reason, and approving role where required.</w:t>
            </w:r>
          </w:p>
        </w:tc>
        <w:tc>
          <w:tcPr>
            <w:tcW w:type="dxa" w:w="22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Permitted role (same-till, same-session refunds may be cashier-level; cross-till or cross-day requires supervisor)</w:t>
            </w:r>
          </w:p>
        </w:tc>
        <w:tc>
          <w:tcPr>
            <w:tcW w:type="dxa" w:w="23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 terminal</w:t>
            </w:r>
          </w:p>
        </w:tc>
      </w:tr>
    </w:tbl>
    <w:p>
      <w:pPr>
        <w:spacing w:after="110" w:line="272"/>
        <w:jc w:val="both"/>
      </w:pPr>
      <w:r>
        <w:rPr>
          <w:rFonts w:ascii="Arial" w:cs="Arial" w:eastAsia="Arial" w:hAnsi="Arial"/>
          <w:i/>
          <w:iCs/>
          <w:color w:val="5A6470"/>
          <w:sz w:val="17"/>
          <w:szCs w:val="17"/>
        </w:rPr>
        <w:t xml:space="preserve">Numbering: The number is never freed or reused — this is what keeps the series gapless through cancellations.</w:t>
      </w:r>
    </w:p>
    <w:p>
      <w:pPr>
        <w:spacing w:after="160"/>
      </w:pP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2026-08-13T21:10:53.559Z</dcterms:created>
  <dcterms:modified xsi:type="dcterms:W3CDTF">2026-08-13T21:10:53.560Z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