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olor w:val="2A7F8F"/>
          <w:sz w:val="18"/>
          <w:szCs w:val="18"/>
        </w:rPr>
        <w:t xml:space="preserve">Cooperative Retail and Distribution System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14304A"/>
          <w:sz w:val="30"/>
          <w:szCs w:val="30"/>
        </w:rPr>
        <w:t xml:space="preserve">05 – Software Requirements Specification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A6470"/>
          <w:sz w:val="18"/>
          <w:szCs w:val="18"/>
        </w:rPr>
        <w:t xml:space="preserve">Baseline requirements package — document 5 of 10</w:t>
      </w:r>
    </w:p>
    <w:tbl>
      <w:tblPr>
        <w:tblW w:type="dxa" w:w="9300"/>
        <w:tblBorders>
          <w:top w:val="single" w:color="2A7F8F" w:sz="14"/>
          <w:left w:val="single" w:color="B8C4CC" w:sz="4"/>
          <w:bottom w:val="single" w:color="B8C4CC" w:sz="4"/>
          <w:right w:val="single" w:color="B8C4CC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shd w:fill="EEF3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4304A"/>
                <w:sz w:val="18"/>
                <w:szCs w:val="18"/>
              </w:rPr>
              <w:t xml:space="preserve">Requirements are phrased in EARS form (When &lt;trigger&gt;, the system shall &lt;response&gt;) per ISO/IEC/IEEE 29148 practice. Each carries a unique ID (domain-prefixed), a delivery phase (P1 core spine / P2 control &amp; reporting / P3 extensions), and the question reference it traces to. This is a working baseline, not exhaustive to every question in the register — see Document 8 for full question-level traceability.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7F8F"/>
          <w:sz w:val="21"/>
          <w:szCs w:val="21"/>
        </w:rPr>
        <w:t xml:space="preserve">1. Party and Relationship Management</w:t>
      </w:r>
    </w:p>
    <w:p>
      <w:pPr>
        <w:spacing w:after="110" w:line="272"/>
        <w:jc w:val="both"/>
      </w:pPr>
      <w:r>
        <w:rPr>
          <w:rFonts w:ascii="Arial" w:cs="Arial" w:eastAsia="Arial" w:hAnsi="Arial"/>
          <w:sz w:val="17"/>
          <w:szCs w:val="17"/>
        </w:rPr>
        <w:t xml:space="preserve">FR-PTY — sources: Sections A, M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5650"/>
        <w:gridCol w:w="900"/>
        <w:gridCol w:w="1400"/>
      </w:tblGrid>
      <w:tr>
        <w:trPr>
          <w:tblHeader/>
        </w:trPr>
        <w:tc>
          <w:tcPr>
            <w:tcW w:type="dxa" w:w="135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565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Requirement</w:t>
            </w:r>
          </w:p>
        </w:tc>
        <w:tc>
          <w:tcPr>
            <w:tcW w:type="dxa" w:w="9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Phase</w:t>
            </w:r>
          </w:p>
        </w:tc>
        <w:tc>
          <w:tcPr>
            <w:tcW w:type="dxa" w:w="14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Source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FR-PTY-010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represent Federation, each Distributor, and each MPCS as distinct legal entities, and each Shop as a location belonging to exactly one entity.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A-01, domain model</w:t>
            </w:r>
          </w:p>
        </w:tc>
      </w:tr>
      <w:tr>
        <w:tc>
          <w:tcPr>
            <w:tcW w:type="dxa" w:w="13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FR-PTY-020</w:t>
            </w:r>
          </w:p>
        </w:tc>
        <w:tc>
          <w:tcPr>
            <w:tcW w:type="dxa" w:w="56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represent a trading relationship between two entities as a configurable record carrying an effective-dated price list and a credit configuration, not a hardcoded tier.</w:t>
            </w:r>
          </w:p>
        </w:tc>
        <w:tc>
          <w:tcPr>
            <w:tcW w:type="dxa" w:w="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A-06, A-07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FR-PTY-030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When goods move between two different entities, the system shall treat the movement as a commercial transaction (order, delivery, GRN, invoice).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A-01</w:t>
            </w:r>
          </w:p>
        </w:tc>
      </w:tr>
      <w:tr>
        <w:tc>
          <w:tcPr>
            <w:tcW w:type="dxa" w:w="13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FR-PTY-040</w:t>
            </w:r>
          </w:p>
        </w:tc>
        <w:tc>
          <w:tcPr>
            <w:tcW w:type="dxa" w:w="56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When goods move within one entity (store to shop, shop to shop under one MPCS), the system shall treat the movement as a stock transfer at cost, with no invoice.</w:t>
            </w:r>
          </w:p>
        </w:tc>
        <w:tc>
          <w:tcPr>
            <w:tcW w:type="dxa" w:w="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A-01, C-10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FR-PTY-050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transfer ownership and risk of goods to the receiving party at the moment its GRN is confirmed.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A-01, A-03</w:t>
            </w:r>
          </w:p>
        </w:tc>
      </w:tr>
      <w:tr>
        <w:tc>
          <w:tcPr>
            <w:tcW w:type="dxa" w:w="13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FR-PTY-060</w:t>
            </w:r>
          </w:p>
        </w:tc>
        <w:tc>
          <w:tcPr>
            <w:tcW w:type="dxa" w:w="56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support creation of a Federation–MPCS direct trading relationship as a permission-gated, audit-logged act, without requiring schema change.</w:t>
            </w:r>
          </w:p>
        </w:tc>
        <w:tc>
          <w:tcPr>
            <w:tcW w:type="dxa" w:w="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P3</w:t>
            </w:r>
          </w:p>
        </w:tc>
        <w:tc>
          <w:tcPr>
            <w:tcW w:type="dxa" w:w="14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Fed→MPCS direct (deferred)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FR-PTY-070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support an MPCS holding stock at a central store in addition to receiving goods dropped directly at its shops.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MPCS stock point</w:t>
            </w:r>
          </w:p>
        </w:tc>
      </w:tr>
    </w:tbl>
    <w:p>
      <w:pPr>
        <w:spacing w:after="1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7F8F"/>
          <w:sz w:val="21"/>
          <w:szCs w:val="21"/>
        </w:rPr>
        <w:t xml:space="preserve">2. Catalogue and SKU Governance</w:t>
      </w:r>
    </w:p>
    <w:p>
      <w:pPr>
        <w:spacing w:after="110" w:line="272"/>
        <w:jc w:val="both"/>
      </w:pPr>
      <w:r>
        <w:rPr>
          <w:rFonts w:ascii="Arial" w:cs="Arial" w:eastAsia="Arial" w:hAnsi="Arial"/>
          <w:sz w:val="17"/>
          <w:szCs w:val="17"/>
        </w:rPr>
        <w:t xml:space="preserve">FR-SKU — sources: Section B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5650"/>
        <w:gridCol w:w="900"/>
        <w:gridCol w:w="1400"/>
      </w:tblGrid>
      <w:tr>
        <w:trPr>
          <w:tblHeader/>
        </w:trPr>
        <w:tc>
          <w:tcPr>
            <w:tcW w:type="dxa" w:w="135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565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Requirement</w:t>
            </w:r>
          </w:p>
        </w:tc>
        <w:tc>
          <w:tcPr>
            <w:tcW w:type="dxa" w:w="9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Phase</w:t>
            </w:r>
          </w:p>
        </w:tc>
        <w:tc>
          <w:tcPr>
            <w:tcW w:type="dxa" w:w="14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Source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FR-SKU-010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maintain a single global SKU namespace, with each SKU carrying an owning entity and a status of draft, local, or shared.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B-01, B-09</w:t>
            </w:r>
          </w:p>
        </w:tc>
      </w:tr>
      <w:tr>
        <w:tc>
          <w:tcPr>
            <w:tcW w:type="dxa" w:w="13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FR-SKU-020</w:t>
            </w:r>
          </w:p>
        </w:tc>
        <w:tc>
          <w:tcPr>
            <w:tcW w:type="dxa" w:w="56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generate SKU codes automatically and shall not require or assume any semantic meaning in the code.</w:t>
            </w:r>
          </w:p>
        </w:tc>
        <w:tc>
          <w:tcPr>
            <w:tcW w:type="dxa" w:w="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B-01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FR-SKU-030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require an English short name on every SKU regardless of which other languages are provided.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P-02 fallback rule</w:t>
            </w:r>
          </w:p>
        </w:tc>
      </w:tr>
      <w:tr>
        <w:tc>
          <w:tcPr>
            <w:tcW w:type="dxa" w:w="13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FR-SKU-040</w:t>
            </w:r>
          </w:p>
        </w:tc>
        <w:tc>
          <w:tcPr>
            <w:tcW w:type="dxa" w:w="56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Where a product exists as a factory case and a single sellable unit of the same item, the system shall represent it as one SKU with a unit-of-measure conversion factor.</w:t>
            </w:r>
          </w:p>
        </w:tc>
        <w:tc>
          <w:tcPr>
            <w:tcW w:type="dxa" w:w="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B-02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FR-SKU-050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Where bulk stock is physically transformed into a new retail item, the system shall require a repack recipe (input SKU + quantity → output SKU + quantity, expected yield) and shall not permit recording the transformation as a stock adjustment.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B-02, B-06, B-13</w:t>
            </w:r>
          </w:p>
        </w:tc>
      </w:tr>
      <w:tr>
        <w:tc>
          <w:tcPr>
            <w:tcW w:type="dxa" w:w="13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FR-SKU-060</w:t>
            </w:r>
          </w:p>
        </w:tc>
        <w:tc>
          <w:tcPr>
            <w:tcW w:type="dxa" w:w="56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Where an item is sold loose by customer-chosen weight, the system shall price it per unit weight against the same SKU, with no new SKU created.</w:t>
            </w:r>
          </w:p>
        </w:tc>
        <w:tc>
          <w:tcPr>
            <w:tcW w:type="dxa" w:w="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B-06, B-11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FR-SKU-070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support many barcodes resolving to one SKU.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B-12</w:t>
            </w:r>
          </w:p>
        </w:tc>
      </w:tr>
      <w:tr>
        <w:tc>
          <w:tcPr>
            <w:tcW w:type="dxa" w:w="13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FR-SKU-080</w:t>
            </w:r>
          </w:p>
        </w:tc>
        <w:tc>
          <w:tcPr>
            <w:tcW w:type="dxa" w:w="56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Where a shop has a label printer, the system shall support printing a variable-weight barcode encoding weight and price at a weigh station.</w:t>
            </w:r>
          </w:p>
        </w:tc>
        <w:tc>
          <w:tcPr>
            <w:tcW w:type="dxa" w:w="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B-11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FR-SKU-090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Where a shop has no label printer, the system shall support a cashier manually entering weight against a SKU's per-kilogram price.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B-11</w:t>
            </w:r>
          </w:p>
        </w:tc>
      </w:tr>
      <w:tr>
        <w:tc>
          <w:tcPr>
            <w:tcW w:type="dxa" w:w="13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FR-SKU-100</w:t>
            </w:r>
          </w:p>
        </w:tc>
        <w:tc>
          <w:tcPr>
            <w:tcW w:type="dxa" w:w="56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When a locally created SKU is promoted to shared status, the system shall preserve the original SKU's sales history under an alias mapping.</w:t>
            </w:r>
          </w:p>
        </w:tc>
        <w:tc>
          <w:tcPr>
            <w:tcW w:type="dxa" w:w="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B-10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FR-SKU-110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support tagging SKUs from a governed tag vocabulary rather than a mandatory hierarchy.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B-15</w:t>
            </w:r>
          </w:p>
        </w:tc>
      </w:tr>
    </w:tbl>
    <w:p>
      <w:pPr>
        <w:spacing w:after="1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7F8F"/>
          <w:sz w:val="21"/>
          <w:szCs w:val="21"/>
        </w:rPr>
        <w:t xml:space="preserve">3. Requisition, Allocation and Fulfilment</w:t>
      </w:r>
    </w:p>
    <w:p>
      <w:pPr>
        <w:spacing w:after="110" w:line="272"/>
        <w:jc w:val="both"/>
      </w:pPr>
      <w:r>
        <w:rPr>
          <w:rFonts w:ascii="Arial" w:cs="Arial" w:eastAsia="Arial" w:hAnsi="Arial"/>
          <w:sz w:val="17"/>
          <w:szCs w:val="17"/>
        </w:rPr>
        <w:t xml:space="preserve">FR-ORD — sources: Section C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5650"/>
        <w:gridCol w:w="900"/>
        <w:gridCol w:w="1400"/>
      </w:tblGrid>
      <w:tr>
        <w:trPr>
          <w:tblHeader/>
        </w:trPr>
        <w:tc>
          <w:tcPr>
            <w:tcW w:type="dxa" w:w="135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565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Requirement</w:t>
            </w:r>
          </w:p>
        </w:tc>
        <w:tc>
          <w:tcPr>
            <w:tcW w:type="dxa" w:w="9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Phase</w:t>
            </w:r>
          </w:p>
        </w:tc>
        <w:tc>
          <w:tcPr>
            <w:tcW w:type="dxa" w:w="14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Source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FR-ORD-010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accept a requisition raised manually by shop/entity staff.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C-01</w:t>
            </w:r>
          </w:p>
        </w:tc>
      </w:tr>
      <w:tr>
        <w:tc>
          <w:tcPr>
            <w:tcW w:type="dxa" w:w="13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FR-ORD-020</w:t>
            </w:r>
          </w:p>
        </w:tc>
        <w:tc>
          <w:tcPr>
            <w:tcW w:type="dxa" w:w="56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When a requisition is submitted, the system shall route it to the selling entity for manual approval before fulfilment.</w:t>
            </w:r>
          </w:p>
        </w:tc>
        <w:tc>
          <w:tcPr>
            <w:tcW w:type="dxa" w:w="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C-02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FR-ORD-030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When requested quantity exceeds available stock, the system shall apply the selling entity's configured allocation rule (default: first come, first served) with manual override available.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C-03, C-04</w:t>
            </w:r>
          </w:p>
        </w:tc>
      </w:tr>
      <w:tr>
        <w:tc>
          <w:tcPr>
            <w:tcW w:type="dxa" w:w="13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FR-ORD-040</w:t>
            </w:r>
          </w:p>
        </w:tc>
        <w:tc>
          <w:tcPr>
            <w:tcW w:type="dxa" w:w="56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support partial fulfilment, leaving the unfulfilled remainder open as a backorder unless cancelled.</w:t>
            </w:r>
          </w:p>
        </w:tc>
        <w:tc>
          <w:tcPr>
            <w:tcW w:type="dxa" w:w="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C-05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FR-ORD-050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When the seller accepts an order, the system shall record an indicative ETA and shall measure delivery performance against it.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C-13</w:t>
            </w:r>
          </w:p>
        </w:tc>
      </w:tr>
      <w:tr>
        <w:tc>
          <w:tcPr>
            <w:tcW w:type="dxa" w:w="13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FR-ORD-060</w:t>
            </w:r>
          </w:p>
        </w:tc>
        <w:tc>
          <w:tcPr>
            <w:tcW w:type="dxa" w:w="56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lock an order against edit or cancellation at a configurable window before its ETA, defaulting to seller policy with per-order override.</w:t>
            </w:r>
          </w:p>
        </w:tc>
        <w:tc>
          <w:tcPr>
            <w:tcW w:type="dxa" w:w="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C-08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FR-ORD-070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permit a shop to view stock availability (live or indicative) at the entity it may order from, before raising a requisition.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C-12</w:t>
            </w:r>
          </w:p>
        </w:tc>
      </w:tr>
      <w:tr>
        <w:tc>
          <w:tcPr>
            <w:tcW w:type="dxa" w:w="13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FR-ORD-080</w:t>
            </w:r>
          </w:p>
        </w:tc>
        <w:tc>
          <w:tcPr>
            <w:tcW w:type="dxa" w:w="56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permit a shop to request a lateral transfer from a sibling shop only via its owning MPCS; a shop shall not see another shop's stock directly.</w:t>
            </w:r>
          </w:p>
        </w:tc>
        <w:tc>
          <w:tcPr>
            <w:tcW w:type="dxa" w:w="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C-10, M-05</w:t>
            </w:r>
          </w:p>
        </w:tc>
      </w:tr>
    </w:tbl>
    <w:p>
      <w:pPr>
        <w:spacing w:after="1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7F8F"/>
          <w:sz w:val="21"/>
          <w:szCs w:val="21"/>
        </w:rPr>
        <w:t xml:space="preserve">4. Delivery and Goods Receipt</w:t>
      </w:r>
    </w:p>
    <w:p>
      <w:pPr>
        <w:spacing w:after="110" w:line="272"/>
        <w:jc w:val="both"/>
      </w:pPr>
      <w:r>
        <w:rPr>
          <w:rFonts w:ascii="Arial" w:cs="Arial" w:eastAsia="Arial" w:hAnsi="Arial"/>
          <w:sz w:val="17"/>
          <w:szCs w:val="17"/>
        </w:rPr>
        <w:t xml:space="preserve">FR-DEL — sources: Section D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5650"/>
        <w:gridCol w:w="900"/>
        <w:gridCol w:w="1400"/>
      </w:tblGrid>
      <w:tr>
        <w:trPr>
          <w:tblHeader/>
        </w:trPr>
        <w:tc>
          <w:tcPr>
            <w:tcW w:type="dxa" w:w="135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565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Requirement</w:t>
            </w:r>
          </w:p>
        </w:tc>
        <w:tc>
          <w:tcPr>
            <w:tcW w:type="dxa" w:w="9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Phase</w:t>
            </w:r>
          </w:p>
        </w:tc>
        <w:tc>
          <w:tcPr>
            <w:tcW w:type="dxa" w:w="14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Source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FR-DEL-010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support one delivery note covering multiple drop points from a single vehicle.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D-02</w:t>
            </w:r>
          </w:p>
        </w:tc>
      </w:tr>
      <w:tr>
        <w:tc>
          <w:tcPr>
            <w:tcW w:type="dxa" w:w="13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FR-DEL-020</w:t>
            </w:r>
          </w:p>
        </w:tc>
        <w:tc>
          <w:tcPr>
            <w:tcW w:type="dxa" w:w="56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support goods receipt with a bill-to entity different from the ship-to location, for MPCS direct-to-shop drops.</w:t>
            </w:r>
          </w:p>
        </w:tc>
        <w:tc>
          <w:tcPr>
            <w:tcW w:type="dxa" w:w="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MPCS stock point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FR-DEL-030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When goods are received, the system shall record the quantity actually received rather than requiring it to match the dispatch note.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D-05</w:t>
            </w:r>
          </w:p>
        </w:tc>
      </w:tr>
      <w:tr>
        <w:tc>
          <w:tcPr>
            <w:tcW w:type="dxa" w:w="13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FR-DEL-040</w:t>
            </w:r>
          </w:p>
        </w:tc>
        <w:tc>
          <w:tcPr>
            <w:tcW w:type="dxa" w:w="56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When received quantity differs from dispatched quantity, the system shall raise a discrepancy record for investigation.</w:t>
            </w:r>
          </w:p>
        </w:tc>
        <w:tc>
          <w:tcPr>
            <w:tcW w:type="dxa" w:w="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D-05, D-06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FR-DEL-050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support attaching photographic evidence to a discrepancy or claim record.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D-08</w:t>
            </w:r>
          </w:p>
        </w:tc>
      </w:tr>
      <w:tr>
        <w:tc>
          <w:tcPr>
            <w:tcW w:type="dxa" w:w="13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FR-DEL-060</w:t>
            </w:r>
          </w:p>
        </w:tc>
        <w:tc>
          <w:tcPr>
            <w:tcW w:type="dxa" w:w="56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capture GRN receipt fully offline at a shop, syncing to central on reconnection.</w:t>
            </w:r>
          </w:p>
        </w:tc>
        <w:tc>
          <w:tcPr>
            <w:tcW w:type="dxa" w:w="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H-01, H-02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7F8F"/>
          <w:sz w:val="21"/>
          <w:szCs w:val="21"/>
        </w:rPr>
        <w:t xml:space="preserve">5. Inventory, Batch and Repack</w:t>
      </w:r>
    </w:p>
    <w:p>
      <w:pPr>
        <w:spacing w:after="110" w:line="272"/>
        <w:jc w:val="both"/>
      </w:pPr>
      <w:r>
        <w:rPr>
          <w:rFonts w:ascii="Arial" w:cs="Arial" w:eastAsia="Arial" w:hAnsi="Arial"/>
          <w:sz w:val="17"/>
          <w:szCs w:val="17"/>
        </w:rPr>
        <w:t xml:space="preserve">FR-INV — sources: Section E, batch decisions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5650"/>
        <w:gridCol w:w="900"/>
        <w:gridCol w:w="1400"/>
      </w:tblGrid>
      <w:tr>
        <w:trPr>
          <w:tblHeader/>
        </w:trPr>
        <w:tc>
          <w:tcPr>
            <w:tcW w:type="dxa" w:w="135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565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Requirement</w:t>
            </w:r>
          </w:p>
        </w:tc>
        <w:tc>
          <w:tcPr>
            <w:tcW w:type="dxa" w:w="9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Phase</w:t>
            </w:r>
          </w:p>
        </w:tc>
        <w:tc>
          <w:tcPr>
            <w:tcW w:type="dxa" w:w="14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Source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FR-INV-010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record cost at the batch level, never at the SKU level.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B-04</w:t>
            </w:r>
          </w:p>
        </w:tc>
      </w:tr>
      <w:tr>
        <w:tc>
          <w:tcPr>
            <w:tcW w:type="dxa" w:w="13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FR-INV-020</w:t>
            </w:r>
          </w:p>
        </w:tc>
        <w:tc>
          <w:tcPr>
            <w:tcW w:type="dxa" w:w="56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record MRP as a batch attribute, and shall validate selling price against the MRP of the specific batch being depleted.</w:t>
            </w:r>
          </w:p>
        </w:tc>
        <w:tc>
          <w:tcPr>
            <w:tcW w:type="dxa" w:w="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MRP / batch-price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FR-INV-030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apply weighted-average costing as an entity-level accounting policy, with no per-transaction override.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E-03</w:t>
            </w:r>
          </w:p>
        </w:tc>
      </w:tr>
      <w:tr>
        <w:tc>
          <w:tcPr>
            <w:tcW w:type="dxa" w:w="13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FR-INV-040</w:t>
            </w:r>
          </w:p>
        </w:tc>
        <w:tc>
          <w:tcPr>
            <w:tcW w:type="dxa" w:w="56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assume FEFO depletion for batch-tracked, expiry-relevant SKUs, with manual override available.</w:t>
            </w:r>
          </w:p>
        </w:tc>
        <w:tc>
          <w:tcPr>
            <w:tcW w:type="dxa" w:w="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E-04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FR-INV-050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When a batch enters its configured expiry warning window, the system shall generate a count task for the holding shop.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F-06</w:t>
            </w:r>
          </w:p>
        </w:tc>
      </w:tr>
      <w:tr>
        <w:tc>
          <w:tcPr>
            <w:tcW w:type="dxa" w:w="13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FR-INV-060</w:t>
            </w:r>
          </w:p>
        </w:tc>
        <w:tc>
          <w:tcPr>
            <w:tcW w:type="dxa" w:w="56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permit a sale that would take recorded stock negative, subject to explicit cashier acknowledgement, and shall log the event for exception review.</w:t>
            </w:r>
          </w:p>
        </w:tc>
        <w:tc>
          <w:tcPr>
            <w:tcW w:type="dxa" w:w="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E-09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FR-INV-070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Where two batches of the same SKU with different MRPs are concurrently in stock, the system shall present the cashier a price/batch picker at the point of sale; this selection shall not be inferable from a factory barcode.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B4/B12 batch pricing</w:t>
            </w:r>
          </w:p>
        </w:tc>
      </w:tr>
      <w:tr>
        <w:tc>
          <w:tcPr>
            <w:tcW w:type="dxa" w:w="13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FR-INV-080</w:t>
            </w:r>
          </w:p>
        </w:tc>
        <w:tc>
          <w:tcPr>
            <w:tcW w:type="dxa" w:w="56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support a repack recipe as many-to-many and directional: one input may yield several outputs, and one output may derive from several inputs.</w:t>
            </w:r>
          </w:p>
        </w:tc>
        <w:tc>
          <w:tcPr>
            <w:tcW w:type="dxa" w:w="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B-02, B-06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FR-INV-090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permit reversal of a repack transaction only while the output batch remains unsold in whole or part, via a permission-gated compensating document.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Repack rollback</w:t>
            </w:r>
          </w:p>
        </w:tc>
      </w:tr>
      <w:tr>
        <w:tc>
          <w:tcPr>
            <w:tcW w:type="dxa" w:w="13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FR-INV-100</w:t>
            </w:r>
          </w:p>
        </w:tc>
        <w:tc>
          <w:tcPr>
            <w:tcW w:type="dxa" w:w="56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require a defined recipe for a repack by default; an ad-hoc conversion without a recipe shall require a higher permission and shall appear on the exception report.</w:t>
            </w:r>
          </w:p>
        </w:tc>
        <w:tc>
          <w:tcPr>
            <w:tcW w:type="dxa" w:w="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Recipe-first policy</w:t>
            </w:r>
          </w:p>
        </w:tc>
      </w:tr>
    </w:tbl>
    <w:p>
      <w:pPr>
        <w:spacing w:after="1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7F8F"/>
          <w:sz w:val="21"/>
          <w:szCs w:val="21"/>
        </w:rPr>
        <w:t xml:space="preserve">6. Damages, Discards and Shrinkage</w:t>
      </w:r>
    </w:p>
    <w:p>
      <w:pPr>
        <w:spacing w:after="110" w:line="272"/>
        <w:jc w:val="both"/>
      </w:pPr>
      <w:r>
        <w:rPr>
          <w:rFonts w:ascii="Arial" w:cs="Arial" w:eastAsia="Arial" w:hAnsi="Arial"/>
          <w:sz w:val="17"/>
          <w:szCs w:val="17"/>
        </w:rPr>
        <w:t xml:space="preserve">FR-LOSS — sources: Section F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5650"/>
        <w:gridCol w:w="900"/>
        <w:gridCol w:w="1400"/>
      </w:tblGrid>
      <w:tr>
        <w:trPr>
          <w:tblHeader/>
        </w:trPr>
        <w:tc>
          <w:tcPr>
            <w:tcW w:type="dxa" w:w="135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565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Requirement</w:t>
            </w:r>
          </w:p>
        </w:tc>
        <w:tc>
          <w:tcPr>
            <w:tcW w:type="dxa" w:w="9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Phase</w:t>
            </w:r>
          </w:p>
        </w:tc>
        <w:tc>
          <w:tcPr>
            <w:tcW w:type="dxa" w:w="14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Source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FR-LOSS-010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record loss under distinct categories (damaged in transit, damaged in store, expired, theft, shrinkage, staff consumption, sample, donation, other) rather than one generic adjustment.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F-01</w:t>
            </w:r>
          </w:p>
        </w:tc>
      </w:tr>
      <w:tr>
        <w:tc>
          <w:tcPr>
            <w:tcW w:type="dxa" w:w="13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FR-LOSS-020</w:t>
            </w:r>
          </w:p>
        </w:tc>
        <w:tc>
          <w:tcPr>
            <w:tcW w:type="dxa" w:w="56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attribute the cost of a loss to whichever entity held ownership at the moment of loss.</w:t>
            </w:r>
          </w:p>
        </w:tc>
        <w:tc>
          <w:tcPr>
            <w:tcW w:type="dxa" w:w="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F-02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FR-LOSS-030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require witness confirmation, and photographic evidence where practical, before a write-off is posted.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F-05</w:t>
            </w:r>
          </w:p>
        </w:tc>
      </w:tr>
      <w:tr>
        <w:tc>
          <w:tcPr>
            <w:tcW w:type="dxa" w:w="13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FR-LOSS-040</w:t>
            </w:r>
          </w:p>
        </w:tc>
        <w:tc>
          <w:tcPr>
            <w:tcW w:type="dxa" w:w="56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enforce that the person requesting a write-off is not the same person approving it.</w:t>
            </w:r>
          </w:p>
        </w:tc>
        <w:tc>
          <w:tcPr>
            <w:tcW w:type="dxa" w:w="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F-05, N-07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FR-LOSS-050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support a configurable loss tolerance threshold per SKU or SKU group below which no escalation is required.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F-10, E-07</w:t>
            </w:r>
          </w:p>
        </w:tc>
      </w:tr>
      <w:tr>
        <w:tc>
          <w:tcPr>
            <w:tcW w:type="dxa" w:w="13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FR-LOSS-060</w:t>
            </w:r>
          </w:p>
        </w:tc>
        <w:tc>
          <w:tcPr>
            <w:tcW w:type="dxa" w:w="56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support a claim record against a delivery or batch, carrying photographic evidence, leading to an inspection and, if approved, a credit note.</w:t>
            </w:r>
          </w:p>
        </w:tc>
        <w:tc>
          <w:tcPr>
            <w:tcW w:type="dxa" w:w="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F-03</w:t>
            </w:r>
          </w:p>
        </w:tc>
      </w:tr>
    </w:tbl>
    <w:p>
      <w:pPr>
        <w:spacing w:after="1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7F8F"/>
          <w:sz w:val="21"/>
          <w:szCs w:val="21"/>
        </w:rPr>
        <w:t xml:space="preserve">7. Pricing, Promotions and Discounts</w:t>
      </w:r>
    </w:p>
    <w:p>
      <w:pPr>
        <w:spacing w:after="110" w:line="272"/>
        <w:jc w:val="both"/>
      </w:pPr>
      <w:r>
        <w:rPr>
          <w:rFonts w:ascii="Arial" w:cs="Arial" w:eastAsia="Arial" w:hAnsi="Arial"/>
          <w:sz w:val="17"/>
          <w:szCs w:val="17"/>
        </w:rPr>
        <w:t xml:space="preserve">FR-PRC — sources: Section G, K-03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5650"/>
        <w:gridCol w:w="900"/>
        <w:gridCol w:w="1400"/>
      </w:tblGrid>
      <w:tr>
        <w:trPr>
          <w:tblHeader/>
        </w:trPr>
        <w:tc>
          <w:tcPr>
            <w:tcW w:type="dxa" w:w="135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565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Requirement</w:t>
            </w:r>
          </w:p>
        </w:tc>
        <w:tc>
          <w:tcPr>
            <w:tcW w:type="dxa" w:w="9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Phase</w:t>
            </w:r>
          </w:p>
        </w:tc>
        <w:tc>
          <w:tcPr>
            <w:tcW w:type="dxa" w:w="14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Source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FR-PRC-010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apply one uniform Federation price list to all distributors, with manual, permission-gated special discounts and delivery fees addable per order.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A-06, A-07</w:t>
            </w:r>
          </w:p>
        </w:tc>
      </w:tr>
      <w:tr>
        <w:tc>
          <w:tcPr>
            <w:tcW w:type="dxa" w:w="13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FR-PRC-020</w:t>
            </w:r>
          </w:p>
        </w:tc>
        <w:tc>
          <w:tcPr>
            <w:tcW w:type="dxa" w:w="56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support individually negotiated, volume-tiered price lists between each distributor and each of its MPCS.</w:t>
            </w:r>
          </w:p>
        </w:tc>
        <w:tc>
          <w:tcPr>
            <w:tcW w:type="dxa" w:w="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A-07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FR-PRC-030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apply exactly one retail price list per MPCS, inherited by all of that MPCS's shops; a shop shall not hold a standing price deviation.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G-01, G-02</w:t>
            </w:r>
          </w:p>
        </w:tc>
      </w:tr>
      <w:tr>
        <w:tc>
          <w:tcPr>
            <w:tcW w:type="dxa" w:w="13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FR-PRC-040</w:t>
            </w:r>
          </w:p>
        </w:tc>
        <w:tc>
          <w:tcPr>
            <w:tcW w:type="dxa" w:w="56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enforce that no selling price exceeds the applicable government-controlled MRP, validated per batch.</w:t>
            </w:r>
          </w:p>
        </w:tc>
        <w:tc>
          <w:tcPr>
            <w:tcW w:type="dxa" w:w="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G-03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FR-PRC-050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not support member or loyalty pricing of any kind.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G-04 (revised)</w:t>
            </w:r>
          </w:p>
        </w:tc>
      </w:tr>
      <w:tr>
        <w:tc>
          <w:tcPr>
            <w:tcW w:type="dxa" w:w="13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FR-PRC-060</w:t>
            </w:r>
          </w:p>
        </w:tc>
        <w:tc>
          <w:tcPr>
            <w:tcW w:type="dxa" w:w="56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support a discount or markdown rule engine as the sole mechanism for any price reduction at the point of sale; the system shall not provide a discretionary, unrestricted discount function at the till.</w:t>
            </w:r>
          </w:p>
        </w:tc>
        <w:tc>
          <w:tcPr>
            <w:tcW w:type="dxa" w:w="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G-07 rescinded; discount engine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FR-PRC-070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 discount/markdown rule shall specify a target (SKU, SKU tag, or bill), a trigger (always, quantity threshold, bill total, tender/bank, days-to-expiry band), a benefit (percentage, amount, fixed price, or free item), a validity window, and constraints (max applications, combinability, priority).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Discount engine spec</w:t>
            </w:r>
          </w:p>
        </w:tc>
      </w:tr>
      <w:tr>
        <w:tc>
          <w:tcPr>
            <w:tcW w:type="dxa" w:w="13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FR-PRC-080</w:t>
            </w:r>
          </w:p>
        </w:tc>
        <w:tc>
          <w:tcPr>
            <w:tcW w:type="dxa" w:w="56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When multiple non-combinable rules apply to the same line, the system shall automatically select the single rule giving the best price to the customer.</w:t>
            </w:r>
          </w:p>
        </w:tc>
        <w:tc>
          <w:tcPr>
            <w:tcW w:type="dxa" w:w="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Discount engine spec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FR-PRC-090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When a free-item benefit applies, the system shall post the free item as a zero-priced line that deducts stock and carries the originating rule's ID.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Discount engine spec</w:t>
            </w:r>
          </w:p>
        </w:tc>
      </w:tr>
      <w:tr>
        <w:tc>
          <w:tcPr>
            <w:tcW w:type="dxa" w:w="13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FR-PRC-100</w:t>
            </w:r>
          </w:p>
        </w:tc>
        <w:tc>
          <w:tcPr>
            <w:tcW w:type="dxa" w:w="56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stamp every applied discount or markdown line with its originating rule ID for reporting.</w:t>
            </w:r>
          </w:p>
        </w:tc>
        <w:tc>
          <w:tcPr>
            <w:tcW w:type="dxa" w:w="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Discount engine spec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FR-PRC-110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support a per-customer preferential price or discount, configured by MPCS, for registered customers.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P3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K-03 (later phase)</w:t>
            </w:r>
          </w:p>
        </w:tc>
      </w:tr>
      <w:tr>
        <w:tc>
          <w:tcPr>
            <w:tcW w:type="dxa" w:w="13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FR-PRC-120</w:t>
            </w:r>
          </w:p>
        </w:tc>
        <w:tc>
          <w:tcPr>
            <w:tcW w:type="dxa" w:w="56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present shelf and receipt prices tax-inclusive, computing tax from a per-SKU tax category.</w:t>
            </w:r>
          </w:p>
        </w:tc>
        <w:tc>
          <w:tcPr>
            <w:tcW w:type="dxa" w:w="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G-09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FR-PRC-130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support configurable cash-tender rounding to the nearest rupee; card and account tenders shall settle to the exact amount.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G-10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7F8F"/>
          <w:sz w:val="21"/>
          <w:szCs w:val="21"/>
        </w:rPr>
        <w:t xml:space="preserve">8. Point of Sale and Offline Operation</w:t>
      </w:r>
    </w:p>
    <w:p>
      <w:pPr>
        <w:spacing w:after="110" w:line="272"/>
        <w:jc w:val="both"/>
      </w:pPr>
      <w:r>
        <w:rPr>
          <w:rFonts w:ascii="Arial" w:cs="Arial" w:eastAsia="Arial" w:hAnsi="Arial"/>
          <w:sz w:val="17"/>
          <w:szCs w:val="17"/>
        </w:rPr>
        <w:t xml:space="preserve">FR-POS — sources: Section H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5650"/>
        <w:gridCol w:w="900"/>
        <w:gridCol w:w="1400"/>
      </w:tblGrid>
      <w:tr>
        <w:trPr>
          <w:tblHeader/>
        </w:trPr>
        <w:tc>
          <w:tcPr>
            <w:tcW w:type="dxa" w:w="135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565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Requirement</w:t>
            </w:r>
          </w:p>
        </w:tc>
        <w:tc>
          <w:tcPr>
            <w:tcW w:type="dxa" w:w="9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Phase</w:t>
            </w:r>
          </w:p>
        </w:tc>
        <w:tc>
          <w:tcPr>
            <w:tcW w:type="dxa" w:w="14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Source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FR-POS-010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till shall complete a cash sale, print a receipt, and deduct stock while fully offline, using a local cache of catalogue, prices, promotions, tax categories, and roles/permissions.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H-01, H-02</w:t>
            </w:r>
          </w:p>
        </w:tc>
      </w:tr>
      <w:tr>
        <w:tc>
          <w:tcPr>
            <w:tcW w:type="dxa" w:w="13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FR-POS-020</w:t>
            </w:r>
          </w:p>
        </w:tc>
        <w:tc>
          <w:tcPr>
            <w:tcW w:type="dxa" w:w="56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till shall support park and resume of an in-progress sale.</w:t>
            </w:r>
          </w:p>
        </w:tc>
        <w:tc>
          <w:tcPr>
            <w:tcW w:type="dxa" w:w="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H-11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FR-POS-030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till shall support a same-till, same-session refund offline; cross-till or cross-day refunds shall require an online connection.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H-04, H-10</w:t>
            </w:r>
          </w:p>
        </w:tc>
      </w:tr>
      <w:tr>
        <w:tc>
          <w:tcPr>
            <w:tcW w:type="dxa" w:w="13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FR-POS-040</w:t>
            </w:r>
          </w:p>
        </w:tc>
        <w:tc>
          <w:tcPr>
            <w:tcW w:type="dxa" w:w="56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till shall block card, mobile wallet and QR payment while offline, accepting cash only.</w:t>
            </w:r>
          </w:p>
        </w:tc>
        <w:tc>
          <w:tcPr>
            <w:tcW w:type="dxa" w:w="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H-05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FR-POS-050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till shall queue master-data changes, new orders, and payment-receipt postings while offline, for online submission on reconnection.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H-03</w:t>
            </w:r>
          </w:p>
        </w:tc>
      </w:tr>
      <w:tr>
        <w:tc>
          <w:tcPr>
            <w:tcW w:type="dxa" w:w="13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FR-POS-060</w:t>
            </w:r>
          </w:p>
        </w:tc>
        <w:tc>
          <w:tcPr>
            <w:tcW w:type="dxa" w:w="56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never require merge resolution between till and central records; each record type shall have exactly one designated writer (till owns its own sale events; central owns catalogue and price, pushed read-only).</w:t>
            </w:r>
          </w:p>
        </w:tc>
        <w:tc>
          <w:tcPr>
            <w:tcW w:type="dxa" w:w="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H-04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FR-POS-070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When two tills sell the last unit of a SKU concurrently while offline, the system shall accept the resulting oversell, reconcile on sync, and flag it for review rather than blocking either sale.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Race condition decision</w:t>
            </w:r>
          </w:p>
        </w:tc>
      </w:tr>
      <w:tr>
        <w:tc>
          <w:tcPr>
            <w:tcW w:type="dxa" w:w="13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FR-POS-080</w:t>
            </w:r>
          </w:p>
        </w:tc>
        <w:tc>
          <w:tcPr>
            <w:tcW w:type="dxa" w:w="56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till shall attribute every sale to the authenticated operator.</w:t>
            </w:r>
          </w:p>
        </w:tc>
        <w:tc>
          <w:tcPr>
            <w:tcW w:type="dxa" w:w="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H-13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FR-POS-090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till shall print receipts in the shop's configured language, with English as the fallback where a translation is missing.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H-09, P-02</w:t>
            </w:r>
          </w:p>
        </w:tc>
      </w:tr>
      <w:tr>
        <w:tc>
          <w:tcPr>
            <w:tcW w:type="dxa" w:w="13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FR-POS-100</w:t>
            </w:r>
          </w:p>
        </w:tc>
        <w:tc>
          <w:tcPr>
            <w:tcW w:type="dxa" w:w="56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till shall support the standard peripheral set (barcode scanner, receipt printer, cash drawer, weighing scale, customer display, card terminal) via a hardware-abstracted interface.</w:t>
            </w:r>
          </w:p>
        </w:tc>
        <w:tc>
          <w:tcPr>
            <w:tcW w:type="dxa" w:w="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H-07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FR-POS-110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Card, wallet and QR payment shall be captured as a tender type and reference only; the system shall not process, store, or transmit card data.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H-05, PCI avoidance</w:t>
            </w:r>
          </w:p>
        </w:tc>
      </w:tr>
    </w:tbl>
    <w:p>
      <w:pPr>
        <w:spacing w:after="1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7F8F"/>
          <w:sz w:val="21"/>
          <w:szCs w:val="21"/>
        </w:rPr>
        <w:t xml:space="preserve">9. Payments, Cash and Settlement</w:t>
      </w:r>
    </w:p>
    <w:p>
      <w:pPr>
        <w:spacing w:after="110" w:line="272"/>
        <w:jc w:val="both"/>
      </w:pPr>
      <w:r>
        <w:rPr>
          <w:rFonts w:ascii="Arial" w:cs="Arial" w:eastAsia="Arial" w:hAnsi="Arial"/>
          <w:sz w:val="17"/>
          <w:szCs w:val="17"/>
        </w:rPr>
        <w:t xml:space="preserve">FR-PAY — sources: Section I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5650"/>
        <w:gridCol w:w="900"/>
        <w:gridCol w:w="1400"/>
      </w:tblGrid>
      <w:tr>
        <w:trPr>
          <w:tblHeader/>
        </w:trPr>
        <w:tc>
          <w:tcPr>
            <w:tcW w:type="dxa" w:w="135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565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Requirement</w:t>
            </w:r>
          </w:p>
        </w:tc>
        <w:tc>
          <w:tcPr>
            <w:tcW w:type="dxa" w:w="9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Phase</w:t>
            </w:r>
          </w:p>
        </w:tc>
        <w:tc>
          <w:tcPr>
            <w:tcW w:type="dxa" w:w="14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Source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FR-PAY-010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record, but never execute or process, all tender types including cash, card, mobile wallet, member credit account, voucher and government subsidy instrument.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I-01</w:t>
            </w:r>
          </w:p>
        </w:tc>
      </w:tr>
      <w:tr>
        <w:tc>
          <w:tcPr>
            <w:tcW w:type="dxa" w:w="13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FR-PAY-020</w:t>
            </w:r>
          </w:p>
        </w:tc>
        <w:tc>
          <w:tcPr>
            <w:tcW w:type="dxa" w:w="56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maintain a per-MPCS credit account for each registered customer, including limit, balance, and repayment history.</w:t>
            </w:r>
          </w:p>
        </w:tc>
        <w:tc>
          <w:tcPr>
            <w:tcW w:type="dxa" w:w="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I-02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FR-PAY-030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support full till cash management: opening float, cash drops, blind close, and variance reporting.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I-03</w:t>
            </w:r>
          </w:p>
        </w:tc>
      </w:tr>
      <w:tr>
        <w:tc>
          <w:tcPr>
            <w:tcW w:type="dxa" w:w="13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FR-PAY-040</w:t>
            </w:r>
          </w:p>
        </w:tc>
        <w:tc>
          <w:tcPr>
            <w:tcW w:type="dxa" w:w="56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 permitted role shall be able to record a payment-receipt document against one or more invoices, without the system processing an actual fund transfer.</w:t>
            </w:r>
          </w:p>
        </w:tc>
        <w:tc>
          <w:tcPr>
            <w:tcW w:type="dxa" w:w="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A-04, A-09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FR-PAY-050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compute committed credit exposure as open invoices plus accepted-but-undelivered orders.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Exposure definition</w:t>
            </w:r>
          </w:p>
        </w:tc>
      </w:tr>
      <w:tr>
        <w:tc>
          <w:tcPr>
            <w:tcW w:type="dxa" w:w="13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FR-PAY-060</w:t>
            </w:r>
          </w:p>
        </w:tc>
        <w:tc>
          <w:tcPr>
            <w:tcW w:type="dxa" w:w="56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When an entity's committed exposure against its credit limit becomes marginal or negative, the system shall display a warning banner on that entity's orders and deliveries; the system shall never block the transaction on this basis.</w:t>
            </w:r>
          </w:p>
        </w:tc>
        <w:tc>
          <w:tcPr>
            <w:tcW w:type="dxa" w:w="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A-10, warn-not-block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FR-PAY-070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support recording a cheque payment-receipt as provisional on receipt, with a permission-gated reversal on bounce that restores exposure and flags the relationship.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Cheque lifecycle</w:t>
            </w:r>
          </w:p>
        </w:tc>
      </w:tr>
      <w:tr>
        <w:tc>
          <w:tcPr>
            <w:tcW w:type="dxa" w:w="13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FR-PAY-080</w:t>
            </w:r>
          </w:p>
        </w:tc>
        <w:tc>
          <w:tcPr>
            <w:tcW w:type="dxa" w:w="56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match a payment receipt to one or more specific invoices rather than only to the oldest balance.</w:t>
            </w:r>
          </w:p>
        </w:tc>
        <w:tc>
          <w:tcPr>
            <w:tcW w:type="dxa" w:w="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I-07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FR-PAY-090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permit a payment receipt to be posted by the seller alone, without requiring buyer counter-approval; the buyer shall be able to view and dispute it.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Buyer acknowledgement</w:t>
            </w:r>
          </w:p>
        </w:tc>
      </w:tr>
    </w:tbl>
    <w:p>
      <w:pPr>
        <w:spacing w:after="1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7F8F"/>
          <w:sz w:val="21"/>
          <w:szCs w:val="21"/>
        </w:rPr>
        <w:t xml:space="preserve">10. Inter-entity Billing, Numbering and Tax</w:t>
      </w:r>
    </w:p>
    <w:p>
      <w:pPr>
        <w:spacing w:after="110" w:line="272"/>
        <w:jc w:val="both"/>
      </w:pPr>
      <w:r>
        <w:rPr>
          <w:rFonts w:ascii="Arial" w:cs="Arial" w:eastAsia="Arial" w:hAnsi="Arial"/>
          <w:sz w:val="17"/>
          <w:szCs w:val="17"/>
        </w:rPr>
        <w:t xml:space="preserve">FR-BIL — sources: Section J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5650"/>
        <w:gridCol w:w="900"/>
        <w:gridCol w:w="1400"/>
      </w:tblGrid>
      <w:tr>
        <w:trPr>
          <w:tblHeader/>
        </w:trPr>
        <w:tc>
          <w:tcPr>
            <w:tcW w:type="dxa" w:w="135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565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Requirement</w:t>
            </w:r>
          </w:p>
        </w:tc>
        <w:tc>
          <w:tcPr>
            <w:tcW w:type="dxa" w:w="9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Phase</w:t>
            </w:r>
          </w:p>
        </w:tc>
        <w:tc>
          <w:tcPr>
            <w:tcW w:type="dxa" w:w="14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Source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FR-BIL-010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not produce full statutory accounts (general ledger, trial balance, P&amp;L, balance sheet) for any entity.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J-01</w:t>
            </w:r>
          </w:p>
        </w:tc>
      </w:tr>
      <w:tr>
        <w:tc>
          <w:tcPr>
            <w:tcW w:type="dxa" w:w="13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FR-BIL-020</w:t>
            </w:r>
          </w:p>
        </w:tc>
        <w:tc>
          <w:tcPr>
            <w:tcW w:type="dxa" w:w="56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design every document type with an explicit eventual journal-posting mapping, to support later accounting-system integration.</w:t>
            </w:r>
          </w:p>
        </w:tc>
        <w:tc>
          <w:tcPr>
            <w:tcW w:type="dxa" w:w="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J-02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FR-BIL-030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record VAT registration as a per-entity attribute and shall produce tax invoices carrying both parties' VAT numbers where applicable.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J-03</w:t>
            </w:r>
          </w:p>
        </w:tc>
      </w:tr>
      <w:tr>
        <w:tc>
          <w:tcPr>
            <w:tcW w:type="dxa" w:w="13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FR-BIL-040</w:t>
            </w:r>
          </w:p>
        </w:tc>
        <w:tc>
          <w:tcPr>
            <w:tcW w:type="dxa" w:w="56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not implement any SVAT (suspended tax) document flow.</w:t>
            </w:r>
          </w:p>
        </w:tc>
        <w:tc>
          <w:tcPr>
            <w:tcW w:type="dxa" w:w="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SVAT abolished Oct 2025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FR-BIL-050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assign each till-issued document a number from a gapless series scoped to its till position, assigned at issuance from a locally persisted counter.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J-05, numbering RFC</w:t>
            </w:r>
          </w:p>
        </w:tc>
      </w:tr>
      <w:tr>
        <w:tc>
          <w:tcPr>
            <w:tcW w:type="dxa" w:w="13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FR-BIL-060</w:t>
            </w:r>
          </w:p>
        </w:tc>
        <w:tc>
          <w:tcPr>
            <w:tcW w:type="dxa" w:w="56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assign each back-office document a number from a gapless series scoped to the issuing entity and document type, online-only.</w:t>
            </w:r>
          </w:p>
        </w:tc>
        <w:tc>
          <w:tcPr>
            <w:tcW w:type="dxa" w:w="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J-05, numbering RFC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FR-BIL-070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never renumber an issued document; a voided document shall retain its number.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Numbering RFC</w:t>
            </w:r>
          </w:p>
        </w:tc>
      </w:tr>
      <w:tr>
        <w:tc>
          <w:tcPr>
            <w:tcW w:type="dxa" w:w="13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FR-BIL-080</w:t>
            </w:r>
          </w:p>
        </w:tc>
        <w:tc>
          <w:tcPr>
            <w:tcW w:type="dxa" w:w="56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not assign a document number to a draft or parked transaction.</w:t>
            </w:r>
          </w:p>
        </w:tc>
        <w:tc>
          <w:tcPr>
            <w:tcW w:type="dxa" w:w="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Numbering RFC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FR-BIL-090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When a till position's device is replaced, the replacement shall continue the same numbering series from its last issued number.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Numbering RFC</w:t>
            </w:r>
          </w:p>
        </w:tc>
      </w:tr>
      <w:tr>
        <w:tc>
          <w:tcPr>
            <w:tcW w:type="dxa" w:w="13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FR-BIL-100</w:t>
            </w:r>
          </w:p>
        </w:tc>
        <w:tc>
          <w:tcPr>
            <w:tcW w:type="dxa" w:w="56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On synchronisation, the system shall detect any gap in a till-position series and flag it as a possible missing sale event.</w:t>
            </w:r>
          </w:p>
        </w:tc>
        <w:tc>
          <w:tcPr>
            <w:tcW w:type="dxa" w:w="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Numbering RFC, sync check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FR-BIL-110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build toward IRD e-invoicing readiness (immutable invoices, disciplined numbering, reserved integration point) without implementing the live integration.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 readiness, P3 integration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J-04</w:t>
            </w:r>
          </w:p>
        </w:tc>
      </w:tr>
      <w:tr>
        <w:tc>
          <w:tcPr>
            <w:tcW w:type="dxa" w:w="13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FR-BIL-120</w:t>
            </w:r>
          </w:p>
        </w:tc>
        <w:tc>
          <w:tcPr>
            <w:tcW w:type="dxa" w:w="56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retain all transaction and tax records indefinitely pending a future retention policy decision.</w:t>
            </w:r>
          </w:p>
        </w:tc>
        <w:tc>
          <w:tcPr>
            <w:tcW w:type="dxa" w:w="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J-06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FR-BIL-130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support credit and debit notes at all entity tiers.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J-07</w:t>
            </w:r>
          </w:p>
        </w:tc>
      </w:tr>
      <w:tr>
        <w:tc>
          <w:tcPr>
            <w:tcW w:type="dxa" w:w="13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FR-BIL-140</w:t>
            </w:r>
          </w:p>
        </w:tc>
        <w:tc>
          <w:tcPr>
            <w:tcW w:type="dxa" w:w="56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assume one common financial year across all entities.</w:t>
            </w:r>
          </w:p>
        </w:tc>
        <w:tc>
          <w:tcPr>
            <w:tcW w:type="dxa" w:w="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J-08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FR-BIL-150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scope every auditor's access to their own entity, except Federation auditors, who shall see all entities' data view-only.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J-09, M matrix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7F8F"/>
          <w:sz w:val="21"/>
          <w:szCs w:val="21"/>
        </w:rPr>
        <w:t xml:space="preserve">11. Customer Accounts</w:t>
      </w:r>
    </w:p>
    <w:p>
      <w:pPr>
        <w:spacing w:after="110" w:line="272"/>
        <w:jc w:val="both"/>
      </w:pPr>
      <w:r>
        <w:rPr>
          <w:rFonts w:ascii="Arial" w:cs="Arial" w:eastAsia="Arial" w:hAnsi="Arial"/>
          <w:sz w:val="17"/>
          <w:szCs w:val="17"/>
        </w:rPr>
        <w:t xml:space="preserve">FR-CUS — sources: Section K, I-02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5650"/>
        <w:gridCol w:w="900"/>
        <w:gridCol w:w="1400"/>
      </w:tblGrid>
      <w:tr>
        <w:trPr>
          <w:tblHeader/>
        </w:trPr>
        <w:tc>
          <w:tcPr>
            <w:tcW w:type="dxa" w:w="135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565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Requirement</w:t>
            </w:r>
          </w:p>
        </w:tc>
        <w:tc>
          <w:tcPr>
            <w:tcW w:type="dxa" w:w="9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Phase</w:t>
            </w:r>
          </w:p>
        </w:tc>
        <w:tc>
          <w:tcPr>
            <w:tcW w:type="dxa" w:w="14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Source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FR-CUS-010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maintain a global customer identity keyed by an internal ID, not by phone number.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Phone-churn design</w:t>
            </w:r>
          </w:p>
        </w:tc>
      </w:tr>
      <w:tr>
        <w:tc>
          <w:tcPr>
            <w:tcW w:type="dxa" w:w="13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FR-CUS-020</w:t>
            </w:r>
          </w:p>
        </w:tc>
        <w:tc>
          <w:tcPr>
            <w:tcW w:type="dxa" w:w="56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support multiple phone numbers per customer identity and an audited phone-change flow.</w:t>
            </w:r>
          </w:p>
        </w:tc>
        <w:tc>
          <w:tcPr>
            <w:tcW w:type="dxa" w:w="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Phone-churn design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FR-CUS-030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When a phone number being registered matches an inactive account, the system shall prompt staff to confirm a match rather than silently merging or silently creating a duplicate.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Recycled-number handling</w:t>
            </w:r>
          </w:p>
        </w:tc>
      </w:tr>
      <w:tr>
        <w:tc>
          <w:tcPr>
            <w:tcW w:type="dxa" w:w="13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FR-CUS-040</w:t>
            </w:r>
          </w:p>
        </w:tc>
        <w:tc>
          <w:tcPr>
            <w:tcW w:type="dxa" w:w="56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maintain a separate account (balance, limit, tags) per MPCS a customer trades with, under one shared identity.</w:t>
            </w:r>
          </w:p>
        </w:tc>
        <w:tc>
          <w:tcPr>
            <w:tcW w:type="dxa" w:w="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K-02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FR-CUS-050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not track cooperative membership, shares, patronage rebates, or AGM voting eligibility.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K-01, K-04–K-07</w:t>
            </w:r>
          </w:p>
        </w:tc>
      </w:tr>
      <w:tr>
        <w:tc>
          <w:tcPr>
            <w:tcW w:type="dxa" w:w="13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FR-CUS-060</w:t>
            </w:r>
          </w:p>
        </w:tc>
        <w:tc>
          <w:tcPr>
            <w:tcW w:type="dxa" w:w="56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record only minimal PII for a registered customer (name, phone, optionally NIC where credit is granted).</w:t>
            </w:r>
          </w:p>
        </w:tc>
        <w:tc>
          <w:tcPr>
            <w:tcW w:type="dxa" w:w="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K-08</w:t>
            </w:r>
          </w:p>
        </w:tc>
      </w:tr>
    </w:tbl>
    <w:p>
      <w:pPr>
        <w:spacing w:after="1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7F8F"/>
          <w:sz w:val="21"/>
          <w:szCs w:val="21"/>
        </w:rPr>
        <w:t xml:space="preserve">12. Federation Procurement</w:t>
      </w:r>
    </w:p>
    <w:p>
      <w:pPr>
        <w:spacing w:after="110" w:line="272"/>
        <w:jc w:val="both"/>
      </w:pPr>
      <w:r>
        <w:rPr>
          <w:rFonts w:ascii="Arial" w:cs="Arial" w:eastAsia="Arial" w:hAnsi="Arial"/>
          <w:sz w:val="17"/>
          <w:szCs w:val="17"/>
        </w:rPr>
        <w:t xml:space="preserve">FR-PRO — sources: Section L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5650"/>
        <w:gridCol w:w="900"/>
        <w:gridCol w:w="1400"/>
      </w:tblGrid>
      <w:tr>
        <w:trPr>
          <w:tblHeader/>
        </w:trPr>
        <w:tc>
          <w:tcPr>
            <w:tcW w:type="dxa" w:w="135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565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Requirement</w:t>
            </w:r>
          </w:p>
        </w:tc>
        <w:tc>
          <w:tcPr>
            <w:tcW w:type="dxa" w:w="9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Phase</w:t>
            </w:r>
          </w:p>
        </w:tc>
        <w:tc>
          <w:tcPr>
            <w:tcW w:type="dxa" w:w="14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Source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FR-PRO-010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record market price observations per SKU by source type (importer, supplier, Pettah survey) and date.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P2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L-01</w:t>
            </w:r>
          </w:p>
        </w:tc>
      </w:tr>
      <w:tr>
        <w:tc>
          <w:tcPr>
            <w:tcW w:type="dxa" w:w="13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FR-PRO-020</w:t>
            </w:r>
          </w:p>
        </w:tc>
        <w:tc>
          <w:tcPr>
            <w:tcW w:type="dxa" w:w="56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maintain a supplier master and supplier contract records including agreed prices and volume commitments.</w:t>
            </w:r>
          </w:p>
        </w:tc>
        <w:tc>
          <w:tcPr>
            <w:tcW w:type="dxa" w:w="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P2</w:t>
            </w:r>
          </w:p>
        </w:tc>
        <w:tc>
          <w:tcPr>
            <w:tcW w:type="dxa" w:w="14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L-03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FR-PRO-030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support a quotation register: request for quotation, invited suppliers, recorded quotations, comparison view, and a permission-gated, audit-logged award decision.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P2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L-04</w:t>
            </w:r>
          </w:p>
        </w:tc>
      </w:tr>
      <w:tr>
        <w:tc>
          <w:tcPr>
            <w:tcW w:type="dxa" w:w="13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FR-PRO-040</w:t>
            </w:r>
          </w:p>
        </w:tc>
        <w:tc>
          <w:tcPr>
            <w:tcW w:type="dxa" w:w="56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calculate landed cost (duty, freight, clearing) apportioned across shipment lines, and shall carry this forward as the batch cost for imported goods.</w:t>
            </w:r>
          </w:p>
        </w:tc>
        <w:tc>
          <w:tcPr>
            <w:tcW w:type="dxa" w:w="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P2</w:t>
            </w:r>
          </w:p>
        </w:tc>
        <w:tc>
          <w:tcPr>
            <w:tcW w:type="dxa" w:w="14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L-05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FR-PRO-050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derive supplier performance measures (fill rate, lead time, rejection rate) from purchase-order-versus-GRN data.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P2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L-07</w:t>
            </w:r>
          </w:p>
        </w:tc>
      </w:tr>
      <w:tr>
        <w:tc>
          <w:tcPr>
            <w:tcW w:type="dxa" w:w="13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FR-PRO-060</w:t>
            </w:r>
          </w:p>
        </w:tc>
        <w:tc>
          <w:tcPr>
            <w:tcW w:type="dxa" w:w="56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support Federation as a repacking entity using the same recipe mechanism as MPCS, enabled by permission.</w:t>
            </w:r>
          </w:p>
        </w:tc>
        <w:tc>
          <w:tcPr>
            <w:tcW w:type="dxa" w:w="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P3</w:t>
            </w:r>
          </w:p>
        </w:tc>
        <w:tc>
          <w:tcPr>
            <w:tcW w:type="dxa" w:w="14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L-06</w:t>
            </w:r>
          </w:p>
        </w:tc>
      </w:tr>
    </w:tbl>
    <w:p>
      <w:pPr>
        <w:spacing w:after="1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7F8F"/>
          <w:sz w:val="21"/>
          <w:szCs w:val="21"/>
        </w:rPr>
        <w:t xml:space="preserve">13. Data Governance and Visibility</w:t>
      </w:r>
    </w:p>
    <w:p>
      <w:pPr>
        <w:spacing w:after="110" w:line="272"/>
        <w:jc w:val="both"/>
      </w:pPr>
      <w:r>
        <w:rPr>
          <w:rFonts w:ascii="Arial" w:cs="Arial" w:eastAsia="Arial" w:hAnsi="Arial"/>
          <w:sz w:val="17"/>
          <w:szCs w:val="17"/>
        </w:rPr>
        <w:t xml:space="preserve">FR-GOV — sources: Section M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5650"/>
        <w:gridCol w:w="900"/>
        <w:gridCol w:w="1400"/>
      </w:tblGrid>
      <w:tr>
        <w:trPr>
          <w:tblHeader/>
        </w:trPr>
        <w:tc>
          <w:tcPr>
            <w:tcW w:type="dxa" w:w="135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565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Requirement</w:t>
            </w:r>
          </w:p>
        </w:tc>
        <w:tc>
          <w:tcPr>
            <w:tcW w:type="dxa" w:w="9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Phase</w:t>
            </w:r>
          </w:p>
        </w:tc>
        <w:tc>
          <w:tcPr>
            <w:tcW w:type="dxa" w:w="14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Source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FR-GOV-010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give Federation view-only visibility of all entities' data, including margins and shrinkage.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M-02–M-04</w:t>
            </w:r>
          </w:p>
        </w:tc>
      </w:tr>
      <w:tr>
        <w:tc>
          <w:tcPr>
            <w:tcW w:type="dxa" w:w="13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FR-GOV-020</w:t>
            </w:r>
          </w:p>
        </w:tc>
        <w:tc>
          <w:tcPr>
            <w:tcW w:type="dxa" w:w="56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prevent a Distributor from viewing any MPCS's internal data beyond documents of their direct trading relationship.</w:t>
            </w:r>
          </w:p>
        </w:tc>
        <w:tc>
          <w:tcPr>
            <w:tcW w:type="dxa" w:w="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M-09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FR-GOV-030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prevent a shop from viewing any data belonging to a sibling shop.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M-05</w:t>
            </w:r>
          </w:p>
        </w:tc>
      </w:tr>
      <w:tr>
        <w:tc>
          <w:tcPr>
            <w:tcW w:type="dxa" w:w="13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FR-GOV-040</w:t>
            </w:r>
          </w:p>
        </w:tc>
        <w:tc>
          <w:tcPr>
            <w:tcW w:type="dxa" w:w="56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let each entity administer its own users; an MPCS shall additionally administer its shops' users; Federation shall hold no downward administrative access.</w:t>
            </w:r>
          </w:p>
        </w:tc>
        <w:tc>
          <w:tcPr>
            <w:tcW w:type="dxa" w:w="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M-08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FR-GOV-050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support an external, time-bound, read-only role for the Department of Co-operative Development.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M-10</w:t>
            </w:r>
          </w:p>
        </w:tc>
      </w:tr>
      <w:tr>
        <w:tc>
          <w:tcPr>
            <w:tcW w:type="dxa" w:w="13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FR-GOV-060</w:t>
            </w:r>
          </w:p>
        </w:tc>
        <w:tc>
          <w:tcPr>
            <w:tcW w:type="dxa" w:w="56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retain a society's historical data indefinitely, reflecting that a society cannot leave the federation.</w:t>
            </w:r>
          </w:p>
        </w:tc>
        <w:tc>
          <w:tcPr>
            <w:tcW w:type="dxa" w:w="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M-07</w:t>
            </w:r>
          </w:p>
        </w:tc>
      </w:tr>
    </w:tbl>
    <w:p>
      <w:pPr>
        <w:spacing w:after="1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7F8F"/>
          <w:sz w:val="21"/>
          <w:szCs w:val="21"/>
        </w:rPr>
        <w:t xml:space="preserve">14. Security, RBAC and Audit</w:t>
      </w:r>
    </w:p>
    <w:p>
      <w:pPr>
        <w:spacing w:after="110" w:line="272"/>
        <w:jc w:val="both"/>
      </w:pPr>
      <w:r>
        <w:rPr>
          <w:rFonts w:ascii="Arial" w:cs="Arial" w:eastAsia="Arial" w:hAnsi="Arial"/>
          <w:sz w:val="17"/>
          <w:szCs w:val="17"/>
        </w:rPr>
        <w:t xml:space="preserve">FR-SEC — sources: Section N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5650"/>
        <w:gridCol w:w="900"/>
        <w:gridCol w:w="1400"/>
      </w:tblGrid>
      <w:tr>
        <w:trPr>
          <w:tblHeader/>
        </w:trPr>
        <w:tc>
          <w:tcPr>
            <w:tcW w:type="dxa" w:w="135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565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Requirement</w:t>
            </w:r>
          </w:p>
        </w:tc>
        <w:tc>
          <w:tcPr>
            <w:tcW w:type="dxa" w:w="9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Phase</w:t>
            </w:r>
          </w:p>
        </w:tc>
        <w:tc>
          <w:tcPr>
            <w:tcW w:type="dxa" w:w="14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Source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FR-SEC-010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implement dynamic role-based access control: a permission catalogue, a role builder, and shipped default role templates.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N-01, N-02</w:t>
            </w:r>
          </w:p>
        </w:tc>
      </w:tr>
      <w:tr>
        <w:tc>
          <w:tcPr>
            <w:tcW w:type="dxa" w:w="13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FR-SEC-020</w:t>
            </w:r>
          </w:p>
        </w:tc>
        <w:tc>
          <w:tcPr>
            <w:tcW w:type="dxa" w:w="56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till shall authenticate operators by a short numeric PIN; back-office access shall require a password.</w:t>
            </w:r>
          </w:p>
        </w:tc>
        <w:tc>
          <w:tcPr>
            <w:tcW w:type="dxa" w:w="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N-03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FR-SEC-030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require multi-factor authentication for financial and administrative back-office actions.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N-04</w:t>
            </w:r>
          </w:p>
        </w:tc>
      </w:tr>
      <w:tr>
        <w:tc>
          <w:tcPr>
            <w:tcW w:type="dxa" w:w="13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FR-SEC-040</w:t>
            </w:r>
          </w:p>
        </w:tc>
        <w:tc>
          <w:tcPr>
            <w:tcW w:type="dxa" w:w="56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write every privileged action (override, void, refund, write-off, adjustment, role/user change, series registration, sync anomaly, regulator grant) to an append-only, immutable audit trail.</w:t>
            </w:r>
          </w:p>
        </w:tc>
        <w:tc>
          <w:tcPr>
            <w:tcW w:type="dxa" w:w="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N-05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FR-SEC-050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enforce segregation of duties wherever specified (e.g., a write-off requester may not also approve it).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N-07</w:t>
            </w:r>
          </w:p>
        </w:tc>
      </w:tr>
      <w:tr>
        <w:tc>
          <w:tcPr>
            <w:tcW w:type="dxa" w:w="13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FR-SEC-060</w:t>
            </w:r>
          </w:p>
        </w:tc>
        <w:tc>
          <w:tcPr>
            <w:tcW w:type="dxa" w:w="56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deactivate rather than delete a user account on staff departure, retaining all associated historical records.</w:t>
            </w:r>
          </w:p>
        </w:tc>
        <w:tc>
          <w:tcPr>
            <w:tcW w:type="dxa" w:w="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N-08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FR-SEC-070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till shall lock to the operator PIN after a configurable idle period (default 2–3 minutes); back-office sessions shall lock after 10–15 minutes; admin/financial screens after 5 minutes.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N-09</w:t>
            </w:r>
          </w:p>
        </w:tc>
      </w:tr>
    </w:tbl>
    <w:p>
      <w:pPr>
        <w:spacing w:after="1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7F8F"/>
          <w:sz w:val="21"/>
          <w:szCs w:val="21"/>
        </w:rPr>
        <w:t xml:space="preserve">15. Reporting and Analytics</w:t>
      </w:r>
    </w:p>
    <w:p>
      <w:pPr>
        <w:spacing w:after="110" w:line="272"/>
        <w:jc w:val="both"/>
      </w:pPr>
      <w:r>
        <w:rPr>
          <w:rFonts w:ascii="Arial" w:cs="Arial" w:eastAsia="Arial" w:hAnsi="Arial"/>
          <w:sz w:val="17"/>
          <w:szCs w:val="17"/>
        </w:rPr>
        <w:t xml:space="preserve">FR-REP — sources: Section O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5650"/>
        <w:gridCol w:w="900"/>
        <w:gridCol w:w="1400"/>
      </w:tblGrid>
      <w:tr>
        <w:trPr>
          <w:tblHeader/>
        </w:trPr>
        <w:tc>
          <w:tcPr>
            <w:tcW w:type="dxa" w:w="135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565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Requirement</w:t>
            </w:r>
          </w:p>
        </w:tc>
        <w:tc>
          <w:tcPr>
            <w:tcW w:type="dxa" w:w="9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Phase</w:t>
            </w:r>
          </w:p>
        </w:tc>
        <w:tc>
          <w:tcPr>
            <w:tcW w:type="dxa" w:w="14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Source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FR-REP-010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present operational dashboards from the event stream on a near-real-time basis, with heavy aggregates refreshed end-of-day.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O-01</w:t>
            </w:r>
          </w:p>
        </w:tc>
      </w:tr>
      <w:tr>
        <w:tc>
          <w:tcPr>
            <w:tcW w:type="dxa" w:w="13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FR-REP-020</w:t>
            </w:r>
          </w:p>
        </w:tc>
        <w:tc>
          <w:tcPr>
            <w:tcW w:type="dxa" w:w="56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Every federation-level report shall display a per-entity data-freshness stamp reflecting how many and which entities' data is included as of when.</w:t>
            </w:r>
          </w:p>
        </w:tc>
        <w:tc>
          <w:tcPr>
            <w:tcW w:type="dxa" w:w="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O-01, offline reality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FR-REP-030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till shall print a Z-report and day-sales summary on its local thermal printer, fully offline.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O-02</w:t>
            </w:r>
          </w:p>
        </w:tc>
      </w:tr>
      <w:tr>
        <w:tc>
          <w:tcPr>
            <w:tcW w:type="dxa" w:w="13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FR-REP-040</w:t>
            </w:r>
          </w:p>
        </w:tc>
        <w:tc>
          <w:tcPr>
            <w:tcW w:type="dxa" w:w="56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provide printable A4 output for every catalogue report from one shared rendering pipeline.</w:t>
            </w:r>
          </w:p>
        </w:tc>
        <w:tc>
          <w:tcPr>
            <w:tcW w:type="dxa" w:w="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O-02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FR-REP-050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provide a fixed report catalogue with spreadsheet export; a self-service report builder is out of scope for phase 1.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 (catalogue); backlog (builder)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O-04, O-05</w:t>
            </w:r>
          </w:p>
        </w:tc>
      </w:tr>
    </w:tbl>
    <w:p>
      <w:pPr>
        <w:spacing w:after="1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7F8F"/>
          <w:sz w:val="21"/>
          <w:szCs w:val="21"/>
        </w:rPr>
        <w:t xml:space="preserve">16. Localisation</w:t>
      </w:r>
    </w:p>
    <w:p>
      <w:pPr>
        <w:spacing w:after="110" w:line="272"/>
        <w:jc w:val="both"/>
      </w:pPr>
      <w:r>
        <w:rPr>
          <w:rFonts w:ascii="Arial" w:cs="Arial" w:eastAsia="Arial" w:hAnsi="Arial"/>
          <w:sz w:val="17"/>
          <w:szCs w:val="17"/>
        </w:rPr>
        <w:t xml:space="preserve">FR-LOC — sources: Section P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5650"/>
        <w:gridCol w:w="900"/>
        <w:gridCol w:w="1400"/>
      </w:tblGrid>
      <w:tr>
        <w:trPr>
          <w:tblHeader/>
        </w:trPr>
        <w:tc>
          <w:tcPr>
            <w:tcW w:type="dxa" w:w="135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565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Requirement</w:t>
            </w:r>
          </w:p>
        </w:tc>
        <w:tc>
          <w:tcPr>
            <w:tcW w:type="dxa" w:w="9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Phase</w:t>
            </w:r>
          </w:p>
        </w:tc>
        <w:tc>
          <w:tcPr>
            <w:tcW w:type="dxa" w:w="14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Source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FR-LOC-010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set interface language per shop, not per user.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P-01</w:t>
            </w:r>
          </w:p>
        </w:tc>
      </w:tr>
      <w:tr>
        <w:tc>
          <w:tcPr>
            <w:tcW w:type="dxa" w:w="13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FR-LOC-020</w:t>
            </w:r>
          </w:p>
        </w:tc>
        <w:tc>
          <w:tcPr>
            <w:tcW w:type="dxa" w:w="565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Where a translation is missing in any language, the system shall fall back to English.</w:t>
            </w:r>
          </w:p>
        </w:tc>
        <w:tc>
          <w:tcPr>
            <w:tcW w:type="dxa" w:w="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P-02</w:t>
            </w:r>
          </w:p>
        </w:tc>
      </w:tr>
      <w:tr>
        <w:tc>
          <w:tcPr>
            <w:tcW w:type="dxa" w:w="13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FR-LOC-030</w:t>
            </w:r>
          </w:p>
        </w:tc>
        <w:tc>
          <w:tcPr>
            <w:tcW w:type="dxa" w:w="56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search and sort correctly in Sinhala and Tamil script using proper collation.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P1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P-04</w:t>
            </w:r>
          </w:p>
        </w:tc>
      </w:tr>
    </w:tbl>
    <w:p>
      <w:pPr>
        <w:spacing w:after="140"/>
      </w:pP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60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2026-08-13T21:13:05.564Z</dcterms:created>
  <dcterms:modified xsi:type="dcterms:W3CDTF">2026-08-13T21:13:05.564Z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