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07 – Supporting Matrices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7 of 10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Five reference matrices in one document. The RBAC and report catalogues are skeletons — both are explicitly flagged in the SRS as needing a finalisation workshop before build; the other three are the settled design.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1. RBAC Permission Catalogue (skeleton)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Illustrative role set. The system implements a permission catalogue and role builder (FR-SEC-010); this table is the starting default template set, not a closed list.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6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Representative permissions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Cashier</w:t>
            </w:r>
          </w:p>
        </w:tc>
        <w:tc>
          <w:tcPr>
            <w:tcW w:type="dxa" w:w="6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Sell, park/resume, same-till/same-session refund, apply system-selected discount rules, print receipt. No price or master-data edit, no write-off, no override without supervisor PIN.</w:t>
            </w:r>
          </w:p>
        </w:tc>
      </w:tr>
      <w:tr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Shop supervisor</w:t>
            </w:r>
          </w:p>
        </w:tc>
        <w:tc>
          <w:tcPr>
            <w:tcW w:type="dxa" w:w="6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Cashier permissions plus: cross-till refund (online), till open/close, cash drop, price-override escalation, offline write-off draft capture.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MPCS accountant</w:t>
            </w:r>
          </w:p>
        </w:tc>
        <w:tc>
          <w:tcPr>
            <w:tcW w:type="dxa" w:w="6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Customer account management, payment-receipt posting, statement generation, stock-adjustment approval within threshold, write-off approval.</w:t>
            </w:r>
          </w:p>
        </w:tc>
      </w:tr>
      <w:tr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MPCS GM / chairman</w:t>
            </w:r>
          </w:p>
        </w:tc>
        <w:tc>
          <w:tcPr>
            <w:tcW w:type="dxa" w:w="6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MPCS accountant permissions plus: price-list and discount-rule authoring, lateral-transfer approval, shop user administration, higher-value write-off and adjustment approval.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Distributor procurement / accounts (equivalent roles)</w:t>
            </w:r>
          </w:p>
        </w:tc>
        <w:tc>
          <w:tcPr>
            <w:tcW w:type="dxa" w:w="6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Mirrors MPCS roles at distributor scale; additionally manages its Federation-facing order and credit relationship.</w:t>
            </w:r>
          </w:p>
        </w:tc>
      </w:tr>
      <w:tr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Federation procurement officer</w:t>
            </w:r>
          </w:p>
        </w:tc>
        <w:tc>
          <w:tcPr>
            <w:tcW w:type="dxa" w:w="6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Market price intelligence entry, supplier and contract management, RFQ/quotation register, landed-cost entry.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Federation marketing</w:t>
            </w:r>
          </w:p>
        </w:tc>
        <w:tc>
          <w:tcPr>
            <w:tcW w:type="dxa" w:w="6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Federation-recommended price entry (advisory only), federation SKU catalogue authoring.</w:t>
            </w:r>
          </w:p>
        </w:tc>
      </w:tr>
      <w:tr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Federation accounts</w:t>
            </w:r>
          </w:p>
        </w:tc>
        <w:tc>
          <w:tcPr>
            <w:tcW w:type="dxa" w:w="6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Federation-side payment receipts, statements, VAT summary reports.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Federation admin</w:t>
            </w:r>
          </w:p>
        </w:tc>
        <w:tc>
          <w:tcPr>
            <w:tcW w:type="dxa" w:w="6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SKU promotion (local→shared) and duplicate-merge, series registry administration, global reference data.</w:t>
            </w:r>
          </w:p>
        </w:tc>
      </w:tr>
      <w:tr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Auditor (entity-scoped)</w:t>
            </w:r>
          </w:p>
        </w:tc>
        <w:tc>
          <w:tcPr>
            <w:tcW w:type="dxa" w:w="6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Read-only access to their own entity's documents and audit trail.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Auditor (Federation)</w:t>
            </w:r>
          </w:p>
        </w:tc>
        <w:tc>
          <w:tcPr>
            <w:tcW w:type="dxa" w:w="6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Read-only access to all entities' documents and audit trail.</w:t>
            </w:r>
          </w:p>
        </w:tc>
      </w:tr>
      <w:tr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Co-operative Department (external)</w:t>
            </w:r>
          </w:p>
        </w:tc>
        <w:tc>
          <w:tcPr>
            <w:tcW w:type="dxa" w:w="6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Time-bound, read-only, granted and revoked explicitly; every grant is audit-logged.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Support bridge / NOC operator</w:t>
            </w:r>
          </w:p>
        </w:tc>
        <w:tc>
          <w:tcPr>
            <w:tcW w:type="dxa" w:w="6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Sync-health and queue monitoring, incident flagging. No transactional or master-data access.</w:t>
            </w:r>
          </w:p>
        </w:tc>
      </w:tr>
      <w:tr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Helpdesk agent</w:t>
            </w:r>
          </w:p>
        </w:tc>
        <w:tc>
          <w:tcPr>
            <w:tcW w:type="dxa" w:w="6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Read-only diagnostic view for a reported issue; cannot reset MPCS-tier passwords (MPCS self-administers).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2. Visibility Matrix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300"/>
      </w:tblGrid>
      <w:tr>
        <w:trPr>
          <w:tblHeader/>
        </w:trPr>
        <w:tc>
          <w:tcPr>
            <w:tcW w:type="dxa" w:w="16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Sees →</w:t>
            </w:r>
          </w:p>
        </w:tc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Shop</w:t>
            </w:r>
          </w:p>
        </w:tc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MPCS</w:t>
            </w:r>
          </w:p>
        </w:tc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Distributor</w:t>
            </w:r>
          </w:p>
        </w:tc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Federation</w:t>
            </w:r>
          </w:p>
        </w:tc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Source</w:t>
            </w:r>
          </w:p>
        </w:tc>
      </w:tr>
      <w:tr>
        <w:tc>
          <w:tcPr>
            <w:tcW w:type="dxa" w:w="1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Own entity's data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 (role-scoped)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</w:t>
            </w:r>
          </w:p>
        </w:tc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entity-scoped / global for fed</w:t>
            </w:r>
          </w:p>
        </w:tc>
      </w:tr>
      <w:tr>
        <w:tc>
          <w:tcPr>
            <w:tcW w:type="dxa" w:w="1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Own shops (all of them)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</w:t>
            </w:r>
          </w:p>
        </w:tc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n/a</w:t>
            </w:r>
          </w:p>
        </w:tc>
      </w:tr>
      <w:tr>
        <w:tc>
          <w:tcPr>
            <w:tcW w:type="dxa" w:w="1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Sibling shop under same MPCS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✗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n/a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n/a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n/a</w:t>
            </w:r>
          </w:p>
        </w:tc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M-05</w:t>
            </w:r>
          </w:p>
        </w:tc>
      </w:tr>
      <w:tr>
        <w:tc>
          <w:tcPr>
            <w:tcW w:type="dxa" w:w="1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Counterparty's trading documents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n/a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 (own trades)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 (own trades)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</w:t>
            </w:r>
          </w:p>
        </w:tc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n/a</w:t>
            </w:r>
          </w:p>
        </w:tc>
      </w:tr>
      <w:tr>
        <w:tc>
          <w:tcPr>
            <w:tcW w:type="dxa" w:w="1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Another entity's internal data (margins, shrinkage, local suppliers)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✗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✗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✗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✓ view-only</w:t>
            </w:r>
          </w:p>
        </w:tc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M-02–M-04, M-09</w:t>
            </w:r>
          </w:p>
        </w:tc>
      </w:tr>
      <w:tr>
        <w:tc>
          <w:tcPr>
            <w:tcW w:type="dxa" w:w="1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Admin rights over the tier below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n/a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✗ (MPCS admins own shops)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✗ (own shops only)</w:t>
            </w:r>
          </w:p>
        </w:tc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✗ (none downward)</w:t>
            </w:r>
          </w:p>
        </w:tc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M-08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sz w:val="16"/>
          <w:szCs w:val="16"/>
        </w:rPr>
        <w:t xml:space="preserve">Auditors: entity-scoped for MPCS/Distributor auditors; Federation auditors see all entities, view-only. The Co-operative Department holds an external, time-bound, read-only role granted by Federation.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3. Audit Event Catalogue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6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Events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Login, failure, lockout, operator switch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Pricing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Price override, manual discount (legacy — superseded by rule engine), preferential-price application, discount/markdown rule create or change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Till operations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Void, refund, no-sale drawer open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Stock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Stock adjustment, write-off request and approval, repack execution and reversal, GRN discrepancy raised/resolved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Financial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Credit-limit override, payment-receipt posting and reversal, cheque bounce reversal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Documents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Document void, series registration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Administration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Role/permission change, user create/deactivate, SKU and price master change, customer account change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System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Sync anomaly (gap detected, duplicate rejected), regulator-access grant/revoke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4. Config-at-Setup Register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Not requirements — values collected at entity or shop onboarding, per NFR and FR items that specify “configurable.”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Config item</w:t>
            </w:r>
          </w:p>
        </w:tc>
        <w:tc>
          <w:tcPr>
            <w:tcW w:type="dxa" w:w="6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Credit headroom warning threshold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Per relationship — % of limit at which the banner appears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Order lock window before ETA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Seller policy default, overridable per order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Interest default on overdue balances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Set by permitted role per relationship (system supports; not enforced without accounting integration)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Discount cap by role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Percentage or value ceiling before supervisor override required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ETA-breach escalation threshold and alert recipients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By role/permission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Loss/shrinkage tolerance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Per SKU or SKU group, before adjustment requires escalation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Stock-adjustment approval threshold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Value banding by SKU or SKU group margin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Cash-tender rounding rule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Default: round to nearest rupee on cash only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Idle-lock duration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Till 2–3 min / back office 10–15 min / admin 5 min, all configurable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Sinhala/Tamil input method availability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Provisioned per shop at onboarding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Minimum connectivity spec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Rollout go-live gate per site (~2 Mbps down / 0.5 up, router-based)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5. Report Catalogue (placeholder)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Report</w:t>
            </w:r>
          </w:p>
        </w:tc>
        <w:tc>
          <w:tcPr>
            <w:tcW w:type="dxa" w:w="6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Till Z-report / day-sales summary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Thermal, offline-capable, phase 1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Till session report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Thermal, offline-capable, phase 1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Statement of account (entity or customer)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A4, at configured frequency, phase 1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Stock position and ageing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A4, phase 1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Discrepancy and claim register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A4, phase 1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Loss/shrinkage by category and by shop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A4, phase 1 — visibility per the matrix above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Discount/markdown cost by rule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A4, phase 1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VAT summary (output/input by period)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A4, phase 1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Supplier performance (fill rate, lead time, rejections)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A4, phase 2</w:t>
            </w:r>
          </w:p>
        </w:tc>
      </w:tr>
      <w:tr>
        <w:tc>
          <w:tcPr>
            <w:tcW w:type="dxa" w:w="26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Regional/seasonal sales analysis (BI)</w:t>
            </w:r>
          </w:p>
        </w:tc>
        <w:tc>
          <w:tcPr>
            <w:tcW w:type="dxa" w:w="6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Phase 2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Full catalogue — remaining reports</w:t>
            </w:r>
          </w:p>
        </w:tc>
        <w:tc>
          <w:tcPr>
            <w:tcW w:type="dxa" w:w="6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To be finalised in a decision-driven reporting workshop (Document 5, FR-REP-050)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2026-08-13T21:14:22.037Z</dcterms:created>
  <dcterms:modified xsi:type="dcterms:W3CDTF">2026-08-13T21:14:22.037Z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