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09 – Decisions Log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9 of 10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Architecture Decision Record (ADR) style. Captures the significant, structural decisions behind the requirements — not every answer, but every choice that would be expensive to reverse. Two items remain formally in RFC / discussion with stakeholders and are marked accordingly.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Scope and business model</w:t>
      </w: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ADR-01 — System boundary: documents, not payments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The system is the source of truth for stock ownership, movement, and trading documents. It never moves money.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Keeps the build tractable, avoids PCI/financial-licensing exposure, and matches what the federation actually needs first. Settlement is recorded, not processed.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ADR-02 — Entity vs location model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Federation, each Distributor, and each MPCS are legal entities. A Shop is a location belonging to one entity, not a legal entity itself.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Determines when a stock movement is a commercial transaction (inter-entity) versus a simple transfer (intra-entity). The single most consequential structural decision in the domain model.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ADR-03 — Ownership and risk transfer at GRN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Ownership and risk of goods pass to the receiving party at the moment its GRN is confirmed — not at dispatch, not at invoice.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A single, unambiguous, auditable event rather than a negotiated moment in time.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ADR-04 — Trading relationship as a first-class, configurable record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A relationship between two entities carries its own price list and credit configuration, and is not hardcoded to a fixed three-tier structure.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Anticipates Federation–MPCS direct trading (confirmed as a future phase) without requiring a schema change when it happens.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ADR-05 — No full statutory accounting in this system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The system will never produce general ledgers, trial balances, or statutory financial statements. An external accounting system will integrate after this system is stable.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Removes the single largest scope-inflation risk in the programme (would roughly double finance-domain scope). Every document type is designed with its eventual journal mapping in mind, so integration is additive.</w:t>
      </w:r>
    </w:p>
    <w:p>
      <w:pPr>
        <w:spacing w:after="90"/>
      </w:pPr>
    </w:p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Catalogue and inventory</w:t>
      </w: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ADR-06 — SKU: global namespace, owned and status-tracked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One SKU namespace across the federation; each SKU has an owning entity and a status of draft, local, or shared.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Prevents duplicate/conflicting local codes while preserving entity autonomy to create local items; gives federation a clean promotion path to shared status without losing sales history.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ADR-07 — Three-way SKU conversion model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Case↔single uses a UOM conversion factor on one SKU. Bulk→new retail item uses a repack recipe producing a second SKU. Loose sale by weight uses the same SKU priced per kilogram.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Each of the three physical realities was tested against “is there really a second product”; only the repack case genuinely is one, so only that case gets a second SKU.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ADR-08 — Batch carries cost and MRP; price lives at SKU x MPCS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Cost and MRP are batch attributes. Selling price is set once per SKU per MPCS, not per batch — except where two live MRPs coexist, in which case the till presents a batch/price picker.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Keeps the common case simple for the cashier (batch invisible) while remaining legally correct when MRP genuinely differs across concurrent stock.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ADR-09 — Repack correction by reversal only, recipe-first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A repack transaction can only be corrected by a permission-gated reversal while the output batch remains unsold. Ad-hoc conversion without a predefined recipe requires higher permission and is exception-flagged.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Consistent with the system-wide no-edit, compensating-document principle; recipes prevent typo-class errors (e.g., sugar becoming soap).</w:t>
      </w:r>
    </w:p>
    <w:p>
      <w:pPr>
        <w:spacing w:after="90"/>
      </w:pP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Offline and numbering</w:t>
      </w: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ADR-10 — Offline: one writer per record type, no merge logic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Each record type has exactly one authoritative writer — the till for its own sale events, central for catalogue and price (pushed read-only). No conflict-merge algorithm exists or is needed.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The alternative (arbitrary conflict resolution across shop and central edits) is a well-known source of silent data loss and was designed out rather than solved for.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ADR-11 — Numbering: multi-series gapless, not a single central sequence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9C6B12"/>
          <w:sz w:val="16"/>
          <w:szCs w:val="16"/>
        </w:rPr>
        <w:t xml:space="preserve">Proposed / RFC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Till-issued documents number from a per-till-position gapless series. Back-office documents number from a per-entity, per-document-type gapless series, online-only. A number is final at issue and never reused; central adds an internal posting reference as metadata only, never printed.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An offline till cannot request the next number from a single central sequence. This mirrors long-standing multi-branch bill-book practice. Formally sent to stakeholders as an RFC; awaiting approval.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Alternatives considered: Pre-allocated central number ranges per till — rejected: unconsumed ranges fragment into apparent gaps, and exhausted ranges stop a till mid-outage.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ADR-12 — Credit headroom: warn, never block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When an entity's recorded credit exposure approaches or exceeds its limit, the system shows a warning banner on orders and deliveries. It never blocks the transaction.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Exposure is derived from manually posted payment-receipt documents and is therefore not guaranteed accurate; blocking trade on an unverified figure is a worse failure mode than an occasional over-limit warning.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ADR-13 — Committed exposure = open invoices + accepted undelivered orders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Credit exposure for headroom purposes includes goods on order as well as goods already invoiced.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The conservative, standard definition; goods already committed but not yet delivered are a real, near-term liability for the buyer.</w:t>
      </w:r>
    </w:p>
    <w:p>
      <w:pPr>
        <w:spacing w:after="90"/>
      </w:pPr>
    </w:p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Pricing and customers</w:t>
      </w: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ADR-14 — Discount engine: rules only, no discretionary POS discount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Every price reduction at the till is produced by a pre-authorised rule (target + trigger + benefit + validity). No cashier or supervisor discretionary discount function exists.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Converts discount misuse from a monitoring problem into a structural impossibility. Supersedes and rescinds the earlier permission-gated manual-discount design (G-07).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ADR-15 — Customer identity: global ID, entity-scoped account, phone as lookup only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A customer's true key is an internal ID. Phone numbers are a many-to-one lookup attribute, with an audited change flow and a staff-confirmed prompt on suspected number reuse.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Sri Lankan mobile numbers churn (multi-SIM use, prepaid switching, carrier reuse after deactivation); keying identity on phone would misattribute credit history to strangers.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ADR-16 — No cooperative membership tracking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The system does not track cooperative members, shares, patronage rebates, or AGM voting eligibility. The “customer” concept is unrelated to cooperative membership.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These are governance and accounting functions with no operational role in a retail/distribution system, and were explicitly scoped out by stakeholders.</w:t>
      </w:r>
    </w:p>
    <w:p>
      <w:pPr>
        <w:spacing w:after="90"/>
      </w:pP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Governance and security</w:t>
      </w: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ADR-17 — Visibility: Federation sees everything, view-only; no anonymised tier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Federation has full, view-only visibility into every entity's data including margins and shrinkage. Distributors and MPCS cannot see each other's or their sub-entities' internals. Shops cannot see siblings.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Resolves the assumption that societies would accept central visibility (T-02) in the affirmative and removes the need for a compromise anonymised-aggregate reporting tier.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ADR-18 — Each entity self-administers; no downward admin below MPCS-over-shops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Every entity administers its own users. An MPCS additionally administers its own shops' users. Federation holds no administrative rights over any entity below it.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Respects legal entity autonomy; accepted operational cost is that the helpdesk cannot reset an MPCS user's password directly and must route through the MPCS admin.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ADR-19 — PCI avoidance by design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Card, wallet and QR payments are accepted only via standalone bank terminals; the system never sees, stores, or transmits card data.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Removes the entire PCI-DSS compliance regime from scope permanently, for negligible functional loss.</w:t>
      </w:r>
    </w:p>
    <w:p>
      <w:pPr>
        <w:spacing w:after="90"/>
      </w:pPr>
    </w:p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Infrastructure and delivery</w:t>
      </w: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ADR-20 — Modular monolith plus queue, not microservices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The backend architecture is a modular monolith with a message queue for offline event ingestion, hosted on AWS Mumbai, not a distributed microservices topology.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Matches the realistic team shape (one DevOps engineer) and the actual transaction volume (tens of writes per second at peak); verified to carry 2x load as provisioned and 3x with a single database upgrade.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ADR-21 — RTO 4–8h / RPO 15min for central; multi-day tolerance at the edge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Central services target an aggressive recovery objective, while shops are proven to trade through multi-day central outages by construction.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“The business survives 1–2 days” should not become “the target is 1–2 days” — central downtime still stops all inter-entity trade even while retail continues.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ADR-22 — Growth envelope revised to 10,000 shops within 3 years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Planning basis raised from an assumed 4,000-shop worst case to a stakeholder-confirmed 10,000 shops within three years, 12,000 at five years.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Verified the infrastructure spec already covers this (falls inside the previously-tested 3x scenario); converts shop onboarding from a rollout-phase activity into a permanent, ratio-staffed operational function.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ADR-23 — Three delivery phases against three rollout waves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Phase 1 (core trading spine), Phase 2 (control and reporting), Phase 3 (extensions) delivered against three geographic rollout waves, with a go/no-go gate at end of pilot.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Buys a real stop-point at roughly 40% of programme spend instead of discovering problems at 90% spent. Costs roughly 8% on build and 3% on hardware, and about two months of schedule.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ADR-24 — POS update mechanism: signed, ring-deployed, resumable, LAN-distributed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Updates are signed and integrity-verified, rolled out in rings (pilot → waves → fleet), packaged by component with binary diffs, and distributed once per shop via local-network peer distribution to multi-till shops. Installation happens automatically outside each shop's trading hours.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Protects a cash-handling fleet's update channel, and directly reduces the metered-internet cost the federation will bear once societies pay for their own connectivity.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ADR-25 — Connectivity cost borne by each society, not the central budget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Each MPCS pays for its own shop and back-office internet connections; a minimum connectivity specification is a go-live gate condition per site.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Removes a large, ongoing telco cost from the central programme budget. Accepted consequence: connection quality will vary by society, reinforcing the case for robust offline operation, and the helpdesk boundary must exclude connectivity troubleshooting.</w:t>
      </w:r>
    </w:p>
    <w:p>
      <w:pPr>
        <w:spacing w:after="90"/>
      </w:pP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Data governance</w:t>
      </w: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ADR-26 — Joint-controller data governance agreement required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5A6470"/>
          <w:sz w:val="16"/>
          <w:szCs w:val="16"/>
        </w:rPr>
        <w:t xml:space="preserve">Accepted (action pending)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Federation and each society are, in substance, joint controllers of shared transaction data under the PDPA. A written data-governance agreement is required alongside the system build, not optional documentation.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No such agreement currently exists between Federation and the societies. The system implements whatever allocation of responsibility the agreement specifies; the agreement itself is a legal, not technical, deliverable, and is flagged as near-mandatory rather than merely good practice.</w:t>
      </w:r>
    </w:p>
    <w:p>
      <w:pPr>
        <w:spacing w:after="90"/>
      </w:pPr>
    </w:p>
    <w:p>
      <w:pPr>
        <w:pStyle w:val="Heading2"/>
        <w:spacing w:after="40" w:before="160"/>
      </w:pPr>
      <w:r>
        <w:rPr>
          <w:rFonts w:ascii="Arial" w:cs="Arial" w:eastAsia="Arial" w:hAnsi="Arial"/>
          <w:b/>
          <w:bCs/>
          <w:color w:val="2A7F8F"/>
          <w:sz w:val="20"/>
          <w:szCs w:val="20"/>
        </w:rPr>
        <w:t xml:space="preserve">ADR-27 — Build PDPA-compliant ahead of enforcement</w:t>
      </w:r>
    </w:p>
    <w:p>
      <w:pPr>
        <w:spacing w:after="7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Status: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Accepted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8"/>
          <w:szCs w:val="18"/>
        </w:rPr>
        <w:t xml:space="preserve">Decision: The system is built compliant with the Personal Data Protection Act's substantive provisions before those provisions formally commence.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3A4450"/>
          <w:sz w:val="17"/>
          <w:szCs w:val="17"/>
        </w:rPr>
        <w:t xml:space="preserve">Rationale: The Act's enforcement date was not yet gazetted as of mid-2026, but penalties of up to LKR 10 million per non-compliance apply once it does; compliance is cheap at this system's minimal-PII scope.</w:t>
      </w:r>
    </w:p>
    <w:p>
      <w:pPr>
        <w:spacing w:after="9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2026-08-13T21:16:40.551Z</dcterms:created>
  <dcterms:modified xsi:type="dcterms:W3CDTF">2026-08-13T21:16:40.551Z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