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2A7F8F"/>
          <w:sz w:val="18"/>
          <w:szCs w:val="18"/>
        </w:rPr>
        <w:t xml:space="preserve">Cooperative Retail and Distribution System</w:t>
      </w:r>
    </w:p>
    <w:p>
      <w:pPr>
        <w:spacing w:after="50"/>
      </w:pPr>
      <w:r>
        <w:rPr>
          <w:rFonts w:ascii="Arial" w:cs="Arial" w:eastAsia="Arial" w:hAnsi="Arial"/>
          <w:b/>
          <w:bCs/>
          <w:color w:val="14304A"/>
          <w:sz w:val="30"/>
          <w:szCs w:val="30"/>
        </w:rPr>
        <w:t xml:space="preserve">11 – Business Primer for Engineering</w:t>
      </w:r>
    </w:p>
    <w:p>
      <w:pPr>
        <w:spacing w:after="200"/>
      </w:pPr>
      <w:r>
        <w:rPr>
          <w:rFonts w:ascii="Arial" w:cs="Arial" w:eastAsia="Arial" w:hAnsi="Arial"/>
          <w:i/>
          <w:iCs/>
          <w:color w:val="5A6470"/>
          <w:sz w:val="18"/>
          <w:szCs w:val="18"/>
        </w:rPr>
        <w:t xml:space="preserve">Baseline requirements package — document 11 — for devs, QA, architects</w:t>
      </w:r>
    </w:p>
    <w:tbl>
      <w:tblPr>
        <w:tblW w:type="dxa" w:w="9300"/>
        <w:tblBorders>
          <w:top w:val="single" w:color="2A7F8F" w:sz="14"/>
          <w:left w:val="single" w:color="B8C4CC" w:sz="4"/>
          <w:bottom w:val="single" w:color="B8C4CC" w:sz="4"/>
          <w:right w:val="single" w:color="B8C4CC" w:sz="4"/>
          <w:insideH w:val="single" w:color="auto" w:sz="4"/>
          <w:insideV w:val="single" w:color="auto" w:sz="4"/>
        </w:tblBorders>
      </w:tblPr>
      <w:tblGrid>
        <w:gridCol w:w="9300"/>
      </w:tblGrid>
      <w:tr>
        <w:tc>
          <w:tcPr>
            <w:tcW w:type="dxa" w:w="9300"/>
            <w:shd w:fill="EEF3F6" w:val="clear"/>
            <w:tcMar>
              <w:top w:type="dxa" w:w="120"/>
              <w:left w:type="dxa" w:w="160"/>
              <w:bottom w:type="dxa" w:w="120"/>
              <w:right w:type="dxa" w:w="160"/>
            </w:tcMar>
          </w:tcPr>
          <w:p>
            <w:r>
              <w:rPr>
                <w:rFonts w:ascii="Arial" w:cs="Arial" w:eastAsia="Arial" w:hAnsi="Arial"/>
                <w:i/>
                <w:iCs/>
                <w:color w:val="14304A"/>
                <w:sz w:val="18"/>
                <w:szCs w:val="18"/>
              </w:rPr>
              <w:t xml:space="preserve">Read this first. It explains the business world behind the requirements — it never re-specifies them. Where this document and the SRS appear to disagree, the SRS (doc 05) and NFR spec (doc 06) govern.</w:t>
            </w:r>
          </w:p>
        </w:tc>
      </w:tr>
    </w:tbl>
    <w:p>
      <w:pPr>
        <w:pStyle w:val="Heading1"/>
        <w:spacing w:after="110" w:before="260"/>
      </w:pPr>
      <w:r>
        <w:rPr>
          <w:rFonts w:ascii="Arial" w:cs="Arial" w:eastAsia="Arial" w:hAnsi="Arial"/>
          <w:b/>
          <w:bCs/>
          <w:color w:val="14304A"/>
          <w:sz w:val="25"/>
          <w:szCs w:val="25"/>
        </w:rPr>
        <w:t xml:space="preserve">1. What this organisation is</w:t>
      </w:r>
    </w:p>
    <w:p>
      <w:pPr>
        <w:spacing w:after="110" w:line="272"/>
        <w:jc w:val="both"/>
      </w:pPr>
      <w:r>
        <w:rPr>
          <w:rFonts w:ascii="Arial" w:cs="Arial" w:eastAsia="Arial" w:hAnsi="Arial"/>
          <w:sz w:val="19"/>
          <w:szCs w:val="19"/>
        </w:rPr>
        <w:t xml:space="preserve">The client is the national cooperative retail federation: COOPFED at the apex, roughly 75 distributors, around 800 multi-purpose cooperative societies (MPCS), and about 4,000 retail shops today — growing to roughly 10,000 shops within three years of go-live. The entire operation runs on paper today: bill books, stock ledgers, khata books. There is no existing ERP or POS anywhere in the chain. This system is the federation's first software, being introduced to staff with no digital work habits — which is why the usability rules in doc 06 (mirror the paper forms, role-scoped screens, offline invisible) are requirements, not suggestions.</w:t>
      </w:r>
    </w:p>
    <w:p>
      <w:pPr>
        <w:spacing w:after="110" w:line="272"/>
        <w:jc w:val="both"/>
      </w:pPr>
      <w:r>
        <w:rPr>
          <w:rFonts w:ascii="Arial" w:cs="Arial" w:eastAsia="Arial" w:hAnsi="Arial"/>
          <w:sz w:val="19"/>
          <w:szCs w:val="19"/>
        </w:rPr>
        <w:t xml:space="preserve">The single most important structural fact: COOPFED, each distributor, and each MPCS are separate legal entities. A shop is not — it is a trading location belonging to its MPCS (or distributor). Distributors are themselves large-scale MPCS that hold a deposit with COOPFED, which sets their bulk-purchase credit. Almost every rule in the system follows from where the legal entity boundaries sit.</w:t>
      </w:r>
    </w:p>
    <w:p>
      <w:pPr>
        <w:pStyle w:val="Heading1"/>
        <w:spacing w:after="110" w:before="260"/>
      </w:pPr>
      <w:r>
        <w:rPr>
          <w:rFonts w:ascii="Arial" w:cs="Arial" w:eastAsia="Arial" w:hAnsi="Arial"/>
          <w:b/>
          <w:bCs/>
          <w:color w:val="14304A"/>
          <w:sz w:val="25"/>
          <w:szCs w:val="25"/>
        </w:rPr>
        <w:t xml:space="preserve">2. How goods and money move</w:t>
      </w:r>
    </w:p>
    <w:p>
      <w:pPr>
        <w:pStyle w:val="ListParagraph"/>
        <w:numPr>
          <w:ilvl w:val="0"/>
          <w:numId w:val="2"/>
        </w:numPr>
        <w:spacing w:after="70" w:line="260"/>
      </w:pPr>
      <w:r>
        <w:rPr>
          <w:rFonts w:ascii="Arial" w:cs="Arial" w:eastAsia="Arial" w:hAnsi="Arial"/>
          <w:b/>
          <w:bCs/>
          <w:sz w:val="19"/>
          <w:szCs w:val="19"/>
        </w:rPr>
        <w:t xml:space="preserve">Tier 1: </w:t>
      </w:r>
      <w:r>
        <w:rPr>
          <w:rFonts w:ascii="Arial" w:cs="Arial" w:eastAsia="Arial" w:hAnsi="Arial"/>
          <w:sz w:val="19"/>
          <w:szCs w:val="19"/>
        </w:rPr>
        <w:t xml:space="preserve">COOPFED buys on the open market (importers, suppliers, Pettah) and sells to distributors at one uniform price list, plus permission-gated special discounts and delivery fees per order.</w:t>
      </w:r>
    </w:p>
    <w:p>
      <w:pPr>
        <w:pStyle w:val="ListParagraph"/>
        <w:numPr>
          <w:ilvl w:val="0"/>
          <w:numId w:val="2"/>
        </w:numPr>
        <w:spacing w:after="70" w:line="260"/>
      </w:pPr>
      <w:r>
        <w:rPr>
          <w:rFonts w:ascii="Arial" w:cs="Arial" w:eastAsia="Arial" w:hAnsi="Arial"/>
          <w:b/>
          <w:bCs/>
          <w:sz w:val="19"/>
          <w:szCs w:val="19"/>
        </w:rPr>
        <w:t xml:space="preserve">Tier 2: </w:t>
      </w:r>
      <w:r>
        <w:rPr>
          <w:rFonts w:ascii="Arial" w:cs="Arial" w:eastAsia="Arial" w:hAnsi="Arial"/>
          <w:sz w:val="19"/>
          <w:szCs w:val="19"/>
        </w:rPr>
        <w:t xml:space="preserve">each distributor sells to its MPCS at individually negotiated, volume-tiered prices.</w:t>
      </w:r>
    </w:p>
    <w:p>
      <w:pPr>
        <w:pStyle w:val="ListParagraph"/>
        <w:numPr>
          <w:ilvl w:val="0"/>
          <w:numId w:val="2"/>
        </w:numPr>
        <w:spacing w:after="70" w:line="260"/>
      </w:pPr>
      <w:r>
        <w:rPr>
          <w:rFonts w:ascii="Arial" w:cs="Arial" w:eastAsia="Arial" w:hAnsi="Arial"/>
          <w:b/>
          <w:bCs/>
          <w:sz w:val="19"/>
          <w:szCs w:val="19"/>
        </w:rPr>
        <w:t xml:space="preserve">Tier 3: </w:t>
      </w:r>
      <w:r>
        <w:rPr>
          <w:rFonts w:ascii="Arial" w:cs="Arial" w:eastAsia="Arial" w:hAnsi="Arial"/>
          <w:sz w:val="19"/>
          <w:szCs w:val="19"/>
        </w:rPr>
        <w:t xml:space="preserve">each MPCS sets exactly one retail price list; every one of its shops sells at that list. Shops never deviate. An MPCS may hold stock at a central store and also take deliveries dropped directly at its shops.</w:t>
      </w:r>
    </w:p>
    <w:p>
      <w:pPr>
        <w:pStyle w:val="ListParagraph"/>
        <w:numPr>
          <w:ilvl w:val="0"/>
          <w:numId w:val="2"/>
        </w:numPr>
        <w:spacing w:after="70" w:line="260"/>
      </w:pPr>
      <w:r>
        <w:rPr>
          <w:rFonts w:ascii="Arial" w:cs="Arial" w:eastAsia="Arial" w:hAnsi="Arial"/>
          <w:b/>
          <w:bCs/>
          <w:sz w:val="19"/>
          <w:szCs w:val="19"/>
        </w:rPr>
        <w:t xml:space="preserve">The boundary rule: </w:t>
      </w:r>
      <w:r>
        <w:rPr>
          <w:rFonts w:ascii="Arial" w:cs="Arial" w:eastAsia="Arial" w:hAnsi="Arial"/>
          <w:sz w:val="19"/>
          <w:szCs w:val="19"/>
        </w:rPr>
        <w:t xml:space="preserve">crossing an entity boundary is a real commercial sale: order → delivery → GRN → invoice → payment receipt. Moving goods within one entity (store to shop, shop to shop under one MPCS) is a stock transfer at cost — no invoice.</w:t>
      </w:r>
    </w:p>
    <w:p>
      <w:pPr>
        <w:pStyle w:val="ListParagraph"/>
        <w:numPr>
          <w:ilvl w:val="0"/>
          <w:numId w:val="2"/>
        </w:numPr>
        <w:spacing w:after="70" w:line="260"/>
      </w:pPr>
      <w:r>
        <w:rPr>
          <w:rFonts w:ascii="Arial" w:cs="Arial" w:eastAsia="Arial" w:hAnsi="Arial"/>
          <w:b/>
          <w:bCs/>
          <w:sz w:val="19"/>
          <w:szCs w:val="19"/>
        </w:rPr>
        <w:t xml:space="preserve">The pivot: </w:t>
      </w:r>
      <w:r>
        <w:rPr>
          <w:rFonts w:ascii="Arial" w:cs="Arial" w:eastAsia="Arial" w:hAnsi="Arial"/>
          <w:sz w:val="19"/>
          <w:szCs w:val="19"/>
        </w:rPr>
        <w:t xml:space="preserve">ownership and risk transfer at GRN confirmation — not at dispatch, not at invoice. Whoever owns the goods at the moment of a loss bears that loss.</w:t>
      </w:r>
    </w:p>
    <w:p>
      <w:pPr>
        <w:spacing w:after="110" w:line="272"/>
        <w:jc w:val="both"/>
      </w:pPr>
      <w:r>
        <w:rPr>
          <w:rFonts w:ascii="Arial" w:cs="Arial" w:eastAsia="Arial" w:hAnsi="Arial"/>
          <w:sz w:val="19"/>
          <w:szCs w:val="19"/>
        </w:rPr>
        <w:t xml:space="preserve">Money: the system records payments but never moves them. Settlement happens outside — cash, bank deposit, or cheque between entities. The seller posts a payment-receipt document, which releases credit headroom. Credit limits warn, never block: exposure is derived from manually posted documents, so it is not reliable enough to stop trade on.</w:t>
      </w:r>
    </w:p>
    <w:p>
      <w:pPr>
        <w:pStyle w:val="Heading1"/>
        <w:spacing w:after="110" w:before="260"/>
      </w:pPr>
      <w:r>
        <w:rPr>
          <w:rFonts w:ascii="Arial" w:cs="Arial" w:eastAsia="Arial" w:hAnsi="Arial"/>
          <w:b/>
          <w:bCs/>
          <w:color w:val="14304A"/>
          <w:sz w:val="25"/>
          <w:szCs w:val="25"/>
        </w:rPr>
        <w:t xml:space="preserve">3. The people using it</w:t>
      </w:r>
    </w:p>
    <w:p>
      <w:pPr>
        <w:spacing w:after="110" w:line="272"/>
        <w:jc w:val="both"/>
      </w:pPr>
      <w:r>
        <w:rPr>
          <w:rFonts w:ascii="Arial" w:cs="Arial" w:eastAsia="Arial" w:hAnsi="Arial"/>
          <w:sz w:val="19"/>
          <w:szCs w:val="19"/>
        </w:rPr>
        <w:t xml:space="preserve">A shop cashier authenticates with a short PIN, sells with barcode scans or manual weight entry, and must never be interrupted by a connectivity error — a queue of customers is standing there. A shop supervisor handles refunds, till open/close, and cash drops. An MPCS accountant posts customer repayments, approves adjustments, and manages the retail price list. The MPCS GM/chairman signs off write-offs and lateral transfers. A distributor's warehouse team picks against accepted orders and runs multi-shop delivery routes. COOPFED procurement tracks market prices and supplier contracts. None of these people have used business software before — assume the paper form they know is the mental model, because doc 06 requires the screens to mirror it.</w:t>
      </w:r>
    </w:p>
    <w:p>
      <w:pPr>
        <w:pStyle w:val="Heading1"/>
        <w:spacing w:after="110" w:before="260"/>
      </w:pPr>
      <w:r>
        <w:rPr>
          <w:rFonts w:ascii="Arial" w:cs="Arial" w:eastAsia="Arial" w:hAnsi="Arial"/>
          <w:b/>
          <w:bCs/>
          <w:color w:val="14304A"/>
          <w:sz w:val="25"/>
          <w:szCs w:val="25"/>
        </w:rPr>
        <w:t xml:space="preserve">4. Operating realities that shaped the architecture</w:t>
      </w:r>
    </w:p>
    <w:p>
      <w:pPr>
        <w:pStyle w:val="ListParagraph"/>
        <w:numPr>
          <w:ilvl w:val="0"/>
          <w:numId w:val="2"/>
        </w:numPr>
        <w:spacing w:after="70" w:line="260"/>
      </w:pPr>
      <w:r>
        <w:rPr>
          <w:rFonts w:ascii="Arial" w:cs="Arial" w:eastAsia="Arial" w:hAnsi="Arial"/>
          <w:b/>
          <w:bCs/>
          <w:sz w:val="19"/>
          <w:szCs w:val="19"/>
        </w:rPr>
        <w:t xml:space="preserve">Offline is not an edge case: </w:t>
      </w:r>
      <w:r>
        <w:rPr>
          <w:rFonts w:ascii="Arial" w:cs="Arial" w:eastAsia="Arial" w:hAnsi="Arial"/>
          <w:sz w:val="19"/>
          <w:szCs w:val="19"/>
        </w:rPr>
        <w:t xml:space="preserve">power cuts and unreliable connections mean a till must trade fully offline for 1–2 days: cash sales, receipt printing, stock deduction, GRN capture, same-till refunds — all from a local cache.</w:t>
      </w:r>
    </w:p>
    <w:p>
      <w:pPr>
        <w:pStyle w:val="ListParagraph"/>
        <w:numPr>
          <w:ilvl w:val="0"/>
          <w:numId w:val="2"/>
        </w:numPr>
        <w:spacing w:after="70" w:line="260"/>
      </w:pPr>
      <w:r>
        <w:rPr>
          <w:rFonts w:ascii="Arial" w:cs="Arial" w:eastAsia="Arial" w:hAnsi="Arial"/>
          <w:b/>
          <w:bCs/>
          <w:sz w:val="19"/>
          <w:szCs w:val="19"/>
        </w:rPr>
        <w:t xml:space="preserve">Connectivity is the society's cost: </w:t>
      </w:r>
      <w:r>
        <w:rPr>
          <w:rFonts w:ascii="Arial" w:cs="Arial" w:eastAsia="Arial" w:hAnsi="Arial"/>
          <w:sz w:val="19"/>
          <w:szCs w:val="19"/>
        </w:rPr>
        <w:t xml:space="preserve">each society pays for its own internet, so connection quality varies by society and bandwidth costs real money — hence binary-diff updates and LAN peer distribution.</w:t>
      </w:r>
    </w:p>
    <w:p>
      <w:pPr>
        <w:pStyle w:val="ListParagraph"/>
        <w:numPr>
          <w:ilvl w:val="0"/>
          <w:numId w:val="2"/>
        </w:numPr>
        <w:spacing w:after="70" w:line="260"/>
      </w:pPr>
      <w:r>
        <w:rPr>
          <w:rFonts w:ascii="Arial" w:cs="Arial" w:eastAsia="Arial" w:hAnsi="Arial"/>
          <w:b/>
          <w:bCs/>
          <w:sz w:val="19"/>
          <w:szCs w:val="19"/>
        </w:rPr>
        <w:t xml:space="preserve">Numbering is legal, not cosmetic: </w:t>
      </w:r>
      <w:r>
        <w:rPr>
          <w:rFonts w:ascii="Arial" w:cs="Arial" w:eastAsia="Arial" w:hAnsi="Arial"/>
          <w:sz w:val="19"/>
          <w:szCs w:val="19"/>
        </w:rPr>
        <w:t xml:space="preserve">each till position owns a gapless, sequential series (e.g. 2028/M042-S03-T1-0004512) assigned at issue from a local counter. Voids keep their numbers; drafts get none. A gap after sync means a missing sale event. This mirrors long-standing bill-book practice and is what tax and audit expect.</w:t>
      </w:r>
    </w:p>
    <w:p>
      <w:pPr>
        <w:pStyle w:val="ListParagraph"/>
        <w:numPr>
          <w:ilvl w:val="0"/>
          <w:numId w:val="2"/>
        </w:numPr>
        <w:spacing w:after="70" w:line="260"/>
      </w:pPr>
      <w:r>
        <w:rPr>
          <w:rFonts w:ascii="Arial" w:cs="Arial" w:eastAsia="Arial" w:hAnsi="Arial"/>
          <w:b/>
          <w:bCs/>
          <w:sz w:val="19"/>
          <w:szCs w:val="19"/>
        </w:rPr>
        <w:t xml:space="preserve">One writer per record type: </w:t>
      </w:r>
      <w:r>
        <w:rPr>
          <w:rFonts w:ascii="Arial" w:cs="Arial" w:eastAsia="Arial" w:hAnsi="Arial"/>
          <w:sz w:val="19"/>
          <w:szCs w:val="19"/>
        </w:rPr>
        <w:t xml:space="preserve">the till owns its sale events; central owns catalogue and prices (pushed read-only). Nothing is ever merged. Two tills overselling the last unit offline is accepted and flagged, not blocked.</w:t>
      </w:r>
    </w:p>
    <w:p>
      <w:pPr>
        <w:pStyle w:val="ListParagraph"/>
        <w:numPr>
          <w:ilvl w:val="0"/>
          <w:numId w:val="2"/>
        </w:numPr>
        <w:spacing w:after="70" w:line="260"/>
      </w:pPr>
      <w:r>
        <w:rPr>
          <w:rFonts w:ascii="Arial" w:cs="Arial" w:eastAsia="Arial" w:hAnsi="Arial"/>
          <w:b/>
          <w:bCs/>
          <w:sz w:val="19"/>
          <w:szCs w:val="19"/>
        </w:rPr>
        <w:t xml:space="preserve">Immutability everywhere: </w:t>
      </w:r>
      <w:r>
        <w:rPr>
          <w:rFonts w:ascii="Arial" w:cs="Arial" w:eastAsia="Arial" w:hAnsi="Arial"/>
          <w:sz w:val="19"/>
          <w:szCs w:val="19"/>
        </w:rPr>
        <w:t xml:space="preserve">no document is ever edited or deleted after issue. Every correction is a new, linked compensating document — credit note, reversal, void. This is the audit spine of the whole system.</w:t>
      </w:r>
    </w:p>
    <w:p>
      <w:pPr>
        <w:pStyle w:val="ListParagraph"/>
        <w:numPr>
          <w:ilvl w:val="0"/>
          <w:numId w:val="2"/>
        </w:numPr>
        <w:spacing w:after="70" w:line="260"/>
      </w:pPr>
      <w:r>
        <w:rPr>
          <w:rFonts w:ascii="Arial" w:cs="Arial" w:eastAsia="Arial" w:hAnsi="Arial"/>
          <w:b/>
          <w:bCs/>
          <w:sz w:val="19"/>
          <w:szCs w:val="19"/>
        </w:rPr>
        <w:t xml:space="preserve">Discounts are rules only: </w:t>
      </w:r>
      <w:r>
        <w:rPr>
          <w:rFonts w:ascii="Arial" w:cs="Arial" w:eastAsia="Arial" w:hAnsi="Arial"/>
          <w:sz w:val="19"/>
          <w:szCs w:val="19"/>
        </w:rPr>
        <w:t xml:space="preserve">no discretionary discount exists at the till. Every price reduction comes from a pre-authorised rule (doc 03 §12). This is a fraud-control decision, deliberately with no override valve.</w:t>
      </w:r>
    </w:p>
    <w:p>
      <w:pPr>
        <w:pStyle w:val="ListParagraph"/>
        <w:numPr>
          <w:ilvl w:val="0"/>
          <w:numId w:val="2"/>
        </w:numPr>
        <w:spacing w:after="70" w:line="260"/>
      </w:pPr>
      <w:r>
        <w:rPr>
          <w:rFonts w:ascii="Arial" w:cs="Arial" w:eastAsia="Arial" w:hAnsi="Arial"/>
          <w:b/>
          <w:bCs/>
          <w:sz w:val="19"/>
          <w:szCs w:val="19"/>
        </w:rPr>
        <w:t xml:space="preserve">No accounting, by design: </w:t>
      </w:r>
      <w:r>
        <w:rPr>
          <w:rFonts w:ascii="Arial" w:cs="Arial" w:eastAsia="Arial" w:hAnsi="Arial"/>
          <w:sz w:val="19"/>
          <w:szCs w:val="19"/>
        </w:rPr>
        <w:t xml:space="preserve">the system produces no ledgers or financial statements — an accounting system integrates later. But every document type carries a designed journal mapping, so build nothing that would break clean export.</w:t>
      </w:r>
    </w:p>
    <w:p>
      <w:pPr>
        <w:pStyle w:val="Heading1"/>
        <w:spacing w:after="110" w:before="260"/>
      </w:pPr>
      <w:r>
        <w:rPr>
          <w:rFonts w:ascii="Arial" w:cs="Arial" w:eastAsia="Arial" w:hAnsi="Arial"/>
          <w:b/>
          <w:bCs/>
          <w:color w:val="14304A"/>
          <w:sz w:val="25"/>
          <w:szCs w:val="25"/>
        </w:rPr>
        <w:t xml:space="preserve">5. Sensitive boundaries — handle with care</w:t>
      </w:r>
    </w:p>
    <w:p>
      <w:pPr>
        <w:spacing w:after="110" w:line="272"/>
        <w:jc w:val="both"/>
      </w:pPr>
      <w:r>
        <w:rPr>
          <w:rFonts w:ascii="Arial" w:cs="Arial" w:eastAsia="Arial" w:hAnsi="Arial"/>
          <w:sz w:val="19"/>
          <w:szCs w:val="19"/>
        </w:rPr>
        <w:t xml:space="preserve">Visibility is political as much as technical: COOPFED sees everything view-only; a distributor must never see an MPCS's internals beyond their shared trading documents; shops cannot see sibling shops. Registered customers are NOT cooperative members — membership, shares, and patronage are entirely out of scope, and conflating the two terms in code or UI will cause real confusion with stakeholders. Customer identity is keyed on an internal ID; phone numbers are lookup-only because numbers churn and get reassigned. Card data never touches the system — standalone bank terminals only, which is what keeps PCI-DSS out of scope.</w:t>
      </w:r>
    </w:p>
    <w:p>
      <w:pPr>
        <w:pStyle w:val="Heading1"/>
        <w:spacing w:after="110" w:before="260"/>
      </w:pPr>
      <w:r>
        <w:rPr>
          <w:rFonts w:ascii="Arial" w:cs="Arial" w:eastAsia="Arial" w:hAnsi="Arial"/>
          <w:b/>
          <w:bCs/>
          <w:color w:val="14304A"/>
          <w:sz w:val="25"/>
          <w:szCs w:val="25"/>
        </w:rPr>
        <w:t xml:space="preserve">6. Delivery shape</w:t>
      </w:r>
    </w:p>
    <w:p>
      <w:pPr>
        <w:spacing w:after="110" w:line="272"/>
        <w:jc w:val="both"/>
      </w:pPr>
      <w:r>
        <w:rPr>
          <w:rFonts w:ascii="Arial" w:cs="Arial" w:eastAsia="Arial" w:hAnsi="Arial"/>
          <w:sz w:val="19"/>
          <w:szCs w:val="19"/>
        </w:rPr>
        <w:t xml:space="preserve">Three functional phases against three geographic waves, with a go/no-go gate after the pilot (~40% of spend). Phase 1 is the trading spine; phase 2 adds control and reporting depth; phase 3 adds extensions. Every requirement in doc 05 carries its phase — do not pull phase-2/3 items forward without a change request. Shop onboarding runs at roughly 40 shops/week for three years, so onboarding tooling is a product feature, not a one-off migration script.</w:t>
      </w:r>
    </w:p>
    <w:p>
      <w:pPr>
        <w:pStyle w:val="Heading1"/>
        <w:spacing w:after="110" w:before="260"/>
      </w:pPr>
      <w:r>
        <w:rPr>
          <w:rFonts w:ascii="Arial" w:cs="Arial" w:eastAsia="Arial" w:hAnsi="Arial"/>
          <w:b/>
          <w:bCs/>
          <w:color w:val="14304A"/>
          <w:sz w:val="25"/>
          <w:szCs w:val="25"/>
        </w:rPr>
        <w:t xml:space="preserve">7. What to read, by role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00"/>
      </w:tblGrid>
      <w:tr>
        <w:trPr>
          <w:tblHeader/>
        </w:trPr>
        <w:tc>
          <w:tcPr>
            <w:tcW w:type="dxa" w:w="2300"/>
            <w:shd w:fill="14304A" w:val="clear"/>
            <w:tcMar>
              <w:top w:type="dxa" w:w="60"/>
              <w:left w:type="dxa" w:w="90"/>
              <w:bottom w:type="dxa" w:w="60"/>
              <w:right w:type="dxa" w:w="90"/>
            </w:tcMar>
            <w:vAlign w:val="center"/>
          </w:tcPr>
          <w:p>
            <w:r>
              <w:rPr>
                <w:rFonts w:ascii="Arial" w:cs="Arial" w:eastAsia="Arial" w:hAnsi="Arial"/>
                <w:b/>
                <w:bCs/>
                <w:color w:val="FFFFFF"/>
                <w:sz w:val="15"/>
                <w:szCs w:val="15"/>
              </w:rPr>
              <w:t xml:space="preserve">Role</w:t>
            </w:r>
          </w:p>
        </w:tc>
        <w:tc>
          <w:tcPr>
            <w:tcW w:type="dxa" w:w="3200"/>
            <w:shd w:fill="14304A" w:val="clear"/>
            <w:tcMar>
              <w:top w:type="dxa" w:w="60"/>
              <w:left w:type="dxa" w:w="90"/>
              <w:bottom w:type="dxa" w:w="60"/>
              <w:right w:type="dxa" w:w="90"/>
            </w:tcMar>
            <w:vAlign w:val="center"/>
          </w:tcPr>
          <w:p>
            <w:r>
              <w:rPr>
                <w:rFonts w:ascii="Arial" w:cs="Arial" w:eastAsia="Arial" w:hAnsi="Arial"/>
                <w:b/>
                <w:bCs/>
                <w:color w:val="FFFFFF"/>
                <w:sz w:val="15"/>
                <w:szCs w:val="15"/>
              </w:rPr>
              <w:t xml:space="preserve">Read first</w:t>
            </w:r>
          </w:p>
        </w:tc>
        <w:tc>
          <w:tcPr>
            <w:tcW w:type="dxa" w:w="3800"/>
            <w:shd w:fill="14304A" w:val="clear"/>
            <w:tcMar>
              <w:top w:type="dxa" w:w="60"/>
              <w:left w:type="dxa" w:w="90"/>
              <w:bottom w:type="dxa" w:w="60"/>
              <w:right w:type="dxa" w:w="90"/>
            </w:tcMar>
            <w:vAlign w:val="center"/>
          </w:tcPr>
          <w:p>
            <w:r>
              <w:rPr>
                <w:rFonts w:ascii="Arial" w:cs="Arial" w:eastAsia="Arial" w:hAnsi="Arial"/>
                <w:b/>
                <w:bCs/>
                <w:color w:val="FFFFFF"/>
                <w:sz w:val="15"/>
                <w:szCs w:val="15"/>
              </w:rPr>
              <w:t xml:space="preserve">Then</w:t>
            </w:r>
          </w:p>
        </w:tc>
      </w:tr>
      <w:tr>
        <w:tc>
          <w:tcPr>
            <w:tcW w:type="dxa" w:w="2300"/>
            <w:shd w:fill="FFFFFF" w:val="clear"/>
            <w:tcMar>
              <w:top w:type="dxa" w:w="55"/>
              <w:left w:type="dxa" w:w="90"/>
              <w:bottom w:type="dxa" w:w="55"/>
              <w:right w:type="dxa" w:w="90"/>
            </w:tcMar>
            <w:vAlign w:val="center"/>
          </w:tcPr>
          <w:p>
            <w:r>
              <w:rPr>
                <w:rFonts w:ascii="Arial" w:cs="Arial" w:eastAsia="Arial" w:hAnsi="Arial"/>
                <w:sz w:val="15"/>
                <w:szCs w:val="15"/>
              </w:rPr>
              <w:t xml:space="preserve">Backend / API developer</w:t>
            </w:r>
          </w:p>
        </w:tc>
        <w:tc>
          <w:tcPr>
            <w:tcW w:type="dxa" w:w="3200"/>
            <w:shd w:fill="FFFFFF" w:val="clear"/>
            <w:tcMar>
              <w:top w:type="dxa" w:w="55"/>
              <w:left w:type="dxa" w:w="90"/>
              <w:bottom w:type="dxa" w:w="55"/>
              <w:right w:type="dxa" w:w="90"/>
            </w:tcMar>
            <w:vAlign w:val="center"/>
          </w:tcPr>
          <w:p>
            <w:r>
              <w:rPr>
                <w:rFonts w:ascii="Arial" w:cs="Arial" w:eastAsia="Arial" w:hAnsi="Arial"/>
                <w:sz w:val="15"/>
                <w:szCs w:val="15"/>
              </w:rPr>
              <w:t xml:space="preserve">02 Domain Model, 03 State Machines</w:t>
            </w:r>
          </w:p>
        </w:tc>
        <w:tc>
          <w:tcPr>
            <w:tcW w:type="dxa" w:w="3800"/>
            <w:shd w:fill="FFFFFF" w:val="clear"/>
            <w:tcMar>
              <w:top w:type="dxa" w:w="55"/>
              <w:left w:type="dxa" w:w="90"/>
              <w:bottom w:type="dxa" w:w="55"/>
              <w:right w:type="dxa" w:w="90"/>
            </w:tcMar>
            <w:vAlign w:val="center"/>
          </w:tcPr>
          <w:p>
            <w:r>
              <w:rPr>
                <w:rFonts w:ascii="Arial" w:cs="Arial" w:eastAsia="Arial" w:hAnsi="Arial"/>
                <w:sz w:val="15"/>
                <w:szCs w:val="15"/>
              </w:rPr>
              <w:t xml:space="preserve">05 SRS (your domains), 06 NFR, 13 Scenarios</w:t>
            </w:r>
          </w:p>
        </w:tc>
      </w:tr>
      <w:tr>
        <w:tc>
          <w:tcPr>
            <w:tcW w:type="dxa" w:w="2300"/>
            <w:shd w:fill="F5F8FA" w:val="clear"/>
            <w:tcMar>
              <w:top w:type="dxa" w:w="55"/>
              <w:left w:type="dxa" w:w="90"/>
              <w:bottom w:type="dxa" w:w="55"/>
              <w:right w:type="dxa" w:w="90"/>
            </w:tcMar>
            <w:vAlign w:val="center"/>
          </w:tcPr>
          <w:p>
            <w:r>
              <w:rPr>
                <w:rFonts w:ascii="Arial" w:cs="Arial" w:eastAsia="Arial" w:hAnsi="Arial"/>
                <w:sz w:val="15"/>
                <w:szCs w:val="15"/>
              </w:rPr>
              <w:t xml:space="preserve">POS / till developer</w:t>
            </w:r>
          </w:p>
        </w:tc>
        <w:tc>
          <w:tcPr>
            <w:tcW w:type="dxa" w:w="3200"/>
            <w:shd w:fill="F5F8FA" w:val="clear"/>
            <w:tcMar>
              <w:top w:type="dxa" w:w="55"/>
              <w:left w:type="dxa" w:w="90"/>
              <w:bottom w:type="dxa" w:w="55"/>
              <w:right w:type="dxa" w:w="90"/>
            </w:tcMar>
            <w:vAlign w:val="center"/>
          </w:tcPr>
          <w:p>
            <w:r>
              <w:rPr>
                <w:rFonts w:ascii="Arial" w:cs="Arial" w:eastAsia="Arial" w:hAnsi="Arial"/>
                <w:sz w:val="15"/>
                <w:szCs w:val="15"/>
              </w:rPr>
              <w:t xml:space="preserve">03 State Machines, 04 Flow 9 (offline)</w:t>
            </w:r>
          </w:p>
        </w:tc>
        <w:tc>
          <w:tcPr>
            <w:tcW w:type="dxa" w:w="3800"/>
            <w:shd w:fill="F5F8FA" w:val="clear"/>
            <w:tcMar>
              <w:top w:type="dxa" w:w="55"/>
              <w:left w:type="dxa" w:w="90"/>
              <w:bottom w:type="dxa" w:w="55"/>
              <w:right w:type="dxa" w:w="90"/>
            </w:tcMar>
            <w:vAlign w:val="center"/>
          </w:tcPr>
          <w:p>
            <w:r>
              <w:rPr>
                <w:rFonts w:ascii="Arial" w:cs="Arial" w:eastAsia="Arial" w:hAnsi="Arial"/>
                <w:sz w:val="15"/>
                <w:szCs w:val="15"/>
              </w:rPr>
              <w:t xml:space="preserve">05 SRS §8 POS, 06 offline + update sections, 13 Scenarios S2, S4</w:t>
            </w:r>
          </w:p>
        </w:tc>
      </w:tr>
      <w:tr>
        <w:tc>
          <w:tcPr>
            <w:tcW w:type="dxa" w:w="2300"/>
            <w:shd w:fill="FFFFFF" w:val="clear"/>
            <w:tcMar>
              <w:top w:type="dxa" w:w="55"/>
              <w:left w:type="dxa" w:w="90"/>
              <w:bottom w:type="dxa" w:w="55"/>
              <w:right w:type="dxa" w:w="90"/>
            </w:tcMar>
            <w:vAlign w:val="center"/>
          </w:tcPr>
          <w:p>
            <w:r>
              <w:rPr>
                <w:rFonts w:ascii="Arial" w:cs="Arial" w:eastAsia="Arial" w:hAnsi="Arial"/>
                <w:sz w:val="15"/>
                <w:szCs w:val="15"/>
              </w:rPr>
              <w:t xml:space="preserve">QA engineer</w:t>
            </w:r>
          </w:p>
        </w:tc>
        <w:tc>
          <w:tcPr>
            <w:tcW w:type="dxa" w:w="3200"/>
            <w:shd w:fill="FFFFFF" w:val="clear"/>
            <w:tcMar>
              <w:top w:type="dxa" w:w="55"/>
              <w:left w:type="dxa" w:w="90"/>
              <w:bottom w:type="dxa" w:w="55"/>
              <w:right w:type="dxa" w:w="90"/>
            </w:tcMar>
            <w:vAlign w:val="center"/>
          </w:tcPr>
          <w:p>
            <w:r>
              <w:rPr>
                <w:rFonts w:ascii="Arial" w:cs="Arial" w:eastAsia="Arial" w:hAnsi="Arial"/>
                <w:sz w:val="15"/>
                <w:szCs w:val="15"/>
              </w:rPr>
              <w:t xml:space="preserve">13 Worked Scenarios, 04 Process Flows</w:t>
            </w:r>
          </w:p>
        </w:tc>
        <w:tc>
          <w:tcPr>
            <w:tcW w:type="dxa" w:w="3800"/>
            <w:shd w:fill="FFFFFF" w:val="clear"/>
            <w:tcMar>
              <w:top w:type="dxa" w:w="55"/>
              <w:left w:type="dxa" w:w="90"/>
              <w:bottom w:type="dxa" w:w="55"/>
              <w:right w:type="dxa" w:w="90"/>
            </w:tcMar>
            <w:vAlign w:val="center"/>
          </w:tcPr>
          <w:p>
            <w:r>
              <w:rPr>
                <w:rFonts w:ascii="Arial" w:cs="Arial" w:eastAsia="Arial" w:hAnsi="Arial"/>
                <w:sz w:val="15"/>
                <w:szCs w:val="15"/>
              </w:rPr>
              <w:t xml:space="preserve">05 SRS (acceptance basis), 08 Traceability, 03 State Machines</w:t>
            </w:r>
          </w:p>
        </w:tc>
      </w:tr>
      <w:tr>
        <w:tc>
          <w:tcPr>
            <w:tcW w:type="dxa" w:w="2300"/>
            <w:shd w:fill="F5F8FA" w:val="clear"/>
            <w:tcMar>
              <w:top w:type="dxa" w:w="55"/>
              <w:left w:type="dxa" w:w="90"/>
              <w:bottom w:type="dxa" w:w="55"/>
              <w:right w:type="dxa" w:w="90"/>
            </w:tcMar>
            <w:vAlign w:val="center"/>
          </w:tcPr>
          <w:p>
            <w:r>
              <w:rPr>
                <w:rFonts w:ascii="Arial" w:cs="Arial" w:eastAsia="Arial" w:hAnsi="Arial"/>
                <w:sz w:val="15"/>
                <w:szCs w:val="15"/>
              </w:rPr>
              <w:t xml:space="preserve">Architect / DBA</w:t>
            </w:r>
          </w:p>
        </w:tc>
        <w:tc>
          <w:tcPr>
            <w:tcW w:type="dxa" w:w="3200"/>
            <w:shd w:fill="F5F8FA" w:val="clear"/>
            <w:tcMar>
              <w:top w:type="dxa" w:w="55"/>
              <w:left w:type="dxa" w:w="90"/>
              <w:bottom w:type="dxa" w:w="55"/>
              <w:right w:type="dxa" w:w="90"/>
            </w:tcMar>
            <w:vAlign w:val="center"/>
          </w:tcPr>
          <w:p>
            <w:r>
              <w:rPr>
                <w:rFonts w:ascii="Arial" w:cs="Arial" w:eastAsia="Arial" w:hAnsi="Arial"/>
                <w:sz w:val="15"/>
                <w:szCs w:val="15"/>
              </w:rPr>
              <w:t xml:space="preserve">02 Domain Model, 06 NFR</w:t>
            </w:r>
          </w:p>
        </w:tc>
        <w:tc>
          <w:tcPr>
            <w:tcW w:type="dxa" w:w="3800"/>
            <w:shd w:fill="F5F8FA" w:val="clear"/>
            <w:tcMar>
              <w:top w:type="dxa" w:w="55"/>
              <w:left w:type="dxa" w:w="90"/>
              <w:bottom w:type="dxa" w:w="55"/>
              <w:right w:type="dxa" w:w="90"/>
            </w:tcMar>
            <w:vAlign w:val="center"/>
          </w:tcPr>
          <w:p>
            <w:r>
              <w:rPr>
                <w:rFonts w:ascii="Arial" w:cs="Arial" w:eastAsia="Arial" w:hAnsi="Arial"/>
                <w:sz w:val="15"/>
                <w:szCs w:val="15"/>
              </w:rPr>
              <w:t xml:space="preserve">03 State Machines, 09 Decisions Log (all ADRs)</w:t>
            </w:r>
          </w:p>
        </w:tc>
      </w:tr>
      <w:tr>
        <w:tc>
          <w:tcPr>
            <w:tcW w:type="dxa" w:w="2300"/>
            <w:shd w:fill="FFFFFF" w:val="clear"/>
            <w:tcMar>
              <w:top w:type="dxa" w:w="55"/>
              <w:left w:type="dxa" w:w="90"/>
              <w:bottom w:type="dxa" w:w="55"/>
              <w:right w:type="dxa" w:w="90"/>
            </w:tcMar>
            <w:vAlign w:val="center"/>
          </w:tcPr>
          <w:p>
            <w:r>
              <w:rPr>
                <w:rFonts w:ascii="Arial" w:cs="Arial" w:eastAsia="Arial" w:hAnsi="Arial"/>
                <w:sz w:val="15"/>
                <w:szCs w:val="15"/>
              </w:rPr>
              <w:t xml:space="preserve">UI/UX</w:t>
            </w:r>
          </w:p>
        </w:tc>
        <w:tc>
          <w:tcPr>
            <w:tcW w:type="dxa" w:w="3200"/>
            <w:shd w:fill="FFFFFF" w:val="clear"/>
            <w:tcMar>
              <w:top w:type="dxa" w:w="55"/>
              <w:left w:type="dxa" w:w="90"/>
              <w:bottom w:type="dxa" w:w="55"/>
              <w:right w:type="dxa" w:w="90"/>
            </w:tcMar>
            <w:vAlign w:val="center"/>
          </w:tcPr>
          <w:p>
            <w:r>
              <w:rPr>
                <w:rFonts w:ascii="Arial" w:cs="Arial" w:eastAsia="Arial" w:hAnsi="Arial"/>
                <w:sz w:val="15"/>
                <w:szCs w:val="15"/>
              </w:rPr>
              <w:t xml:space="preserve">This doc §3–4, 06 usability NFRs</w:t>
            </w:r>
          </w:p>
        </w:tc>
        <w:tc>
          <w:tcPr>
            <w:tcW w:type="dxa" w:w="3800"/>
            <w:shd w:fill="FFFFFF" w:val="clear"/>
            <w:tcMar>
              <w:top w:type="dxa" w:w="55"/>
              <w:left w:type="dxa" w:w="90"/>
              <w:bottom w:type="dxa" w:w="55"/>
              <w:right w:type="dxa" w:w="90"/>
            </w:tcMar>
            <w:vAlign w:val="center"/>
          </w:tcPr>
          <w:p>
            <w:r>
              <w:rPr>
                <w:rFonts w:ascii="Arial" w:cs="Arial" w:eastAsia="Arial" w:hAnsi="Arial"/>
                <w:sz w:val="15"/>
                <w:szCs w:val="15"/>
              </w:rPr>
              <w:t xml:space="preserve">04 Process Flows, 12 Glossary</w:t>
            </w:r>
          </w:p>
        </w:tc>
      </w:tr>
      <w:tr>
        <w:tc>
          <w:tcPr>
            <w:tcW w:type="dxa" w:w="2300"/>
            <w:shd w:fill="F5F8FA" w:val="clear"/>
            <w:tcMar>
              <w:top w:type="dxa" w:w="55"/>
              <w:left w:type="dxa" w:w="90"/>
              <w:bottom w:type="dxa" w:w="55"/>
              <w:right w:type="dxa" w:w="90"/>
            </w:tcMar>
            <w:vAlign w:val="center"/>
          </w:tcPr>
          <w:p>
            <w:r>
              <w:rPr>
                <w:rFonts w:ascii="Arial" w:cs="Arial" w:eastAsia="Arial" w:hAnsi="Arial"/>
                <w:sz w:val="15"/>
                <w:szCs w:val="15"/>
              </w:rPr>
              <w:t xml:space="preserve">New team member (any)</w:t>
            </w:r>
          </w:p>
        </w:tc>
        <w:tc>
          <w:tcPr>
            <w:tcW w:type="dxa" w:w="3200"/>
            <w:shd w:fill="F5F8FA" w:val="clear"/>
            <w:tcMar>
              <w:top w:type="dxa" w:w="55"/>
              <w:left w:type="dxa" w:w="90"/>
              <w:bottom w:type="dxa" w:w="55"/>
              <w:right w:type="dxa" w:w="90"/>
            </w:tcMar>
            <w:vAlign w:val="center"/>
          </w:tcPr>
          <w:p>
            <w:r>
              <w:rPr>
                <w:rFonts w:ascii="Arial" w:cs="Arial" w:eastAsia="Arial" w:hAnsi="Arial"/>
                <w:sz w:val="15"/>
                <w:szCs w:val="15"/>
              </w:rPr>
              <w:t xml:space="preserve">This doc, 12 Glossary</w:t>
            </w:r>
          </w:p>
        </w:tc>
        <w:tc>
          <w:tcPr>
            <w:tcW w:type="dxa" w:w="3800"/>
            <w:shd w:fill="F5F8FA" w:val="clear"/>
            <w:tcMar>
              <w:top w:type="dxa" w:w="55"/>
              <w:left w:type="dxa" w:w="90"/>
              <w:bottom w:type="dxa" w:w="55"/>
              <w:right w:type="dxa" w:w="90"/>
            </w:tcMar>
            <w:vAlign w:val="center"/>
          </w:tcPr>
          <w:p>
            <w:r>
              <w:rPr>
                <w:rFonts w:ascii="Arial" w:cs="Arial" w:eastAsia="Arial" w:hAnsi="Arial"/>
                <w:sz w:val="15"/>
                <w:szCs w:val="15"/>
              </w:rPr>
              <w:t xml:space="preserve">01 Vision &amp; Scope, then per role above</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59"/>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2026-08-14T03:18:24.346Z</dcterms:created>
  <dcterms:modified xsi:type="dcterms:W3CDTF">2026-08-14T03:18:24.363Z</dcterms:modified>
</cp:coreProperties>
</file>

<file path=docProps/custom.xml><?xml version="1.0" encoding="utf-8"?>
<Properties xmlns="http://schemas.openxmlformats.org/officeDocument/2006/custom-properties" xmlns:vt="http://schemas.openxmlformats.org/officeDocument/2006/docPropsVTypes"/>
</file>