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color w:val="2a7f8f"/>
          <w:sz w:val="18"/>
          <w:szCs w:val="18"/>
          <w:rtl w:val="0"/>
        </w:rPr>
        <w:t xml:space="preserve">Cooperative Retail and Distribution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304a"/>
          <w:sz w:val="30"/>
          <w:szCs w:val="30"/>
          <w:rtl w:val="0"/>
        </w:rPr>
        <w:t xml:space="preserve">00 – Knoweb Document 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470"/>
          <w:sz w:val="18"/>
          <w:szCs w:val="18"/>
          <w:rtl w:val="0"/>
        </w:rPr>
        <w:t xml:space="preserve">v0.2 — 14 August 2026 — replaces v0.1</w:t>
      </w: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2a7f8f" w:space="0" w:sz="14" w:val="single"/>
          <w:left w:color="b8c4cc" w:space="0" w:sz="4" w:val="single"/>
          <w:bottom w:color="b8c4cc" w:space="0" w:sz="4" w:val="single"/>
          <w:right w:color="b8c4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shd w:fill="eef3f6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4304a"/>
                <w:sz w:val="18"/>
                <w:szCs w:val="18"/>
                <w:rtl w:val="0"/>
              </w:rPr>
              <w:t xml:space="preserve">Index of the requirements baseline package for the Cooperative Retail and Distribution System. Versioning convention: files are never edited in place — superseded versions are replaced by a new versioned file and the old one is moved to trash.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spacing w:after="11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304a"/>
          <w:sz w:val="25"/>
          <w:szCs w:val="25"/>
          <w:rtl w:val="0"/>
        </w:rPr>
        <w:t xml:space="preserve">Baseline package (documents 1–10)</w:t>
      </w: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4600"/>
        <w:gridCol w:w="1200"/>
        <w:tblGridChange w:id="0">
          <w:tblGrid>
            <w:gridCol w:w="3500"/>
            <w:gridCol w:w="4600"/>
            <w:gridCol w:w="1200"/>
          </w:tblGrid>
        </w:tblGridChange>
      </w:tblGrid>
      <w:tr>
        <w:trPr>
          <w:cantSplit w:val="0"/>
          <w:tblHeader w:val="1"/>
        </w:trPr>
        <w:tc>
          <w:tcPr>
            <w:shd w:fill="14304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304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304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01_Vision_and_Scope.docx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Objectives, boundaries, documents-not-payments scope, delivery approach, baseline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11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02_Domain_Model.docx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Entity and relationship tables, 13 document types, cardinalities, recurring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13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03_Document_State_Machines.docx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All 13 document lifecycles: statuses, transitions, actors, numbering per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15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04_Process_Flows.docx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Twelve numbered actor flows from inter-entity trade to shop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13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05_SRS_Functional_Requirements.docx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118 EARS-phrased functional requirements across 16 domains, with IDs, phases, source 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23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06_NFR_Specification.docx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Non-functional requirements against ISO 25010: performance, availability, offline, security, compliance, usability, localisation, updates, auditability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14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07_Matrices.docx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RBAC skeleton, visibility matrix, audit event catalogue, config-at-setup register, report catalogue placeholder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13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08_Traceability_Matrix.docx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Every questionnaire reference (A–T) mapped to resolution, requirement IDs, phase,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22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09_Decisions_Log.docx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27 ADR-style decisions including the two items currently in RFC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15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10_Open_Items_Register.docx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LIVE document: open items, 13-item ratification batch, external pendings, parked items, programme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13 KB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spacing w:after="11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304a"/>
          <w:sz w:val="25"/>
          <w:szCs w:val="25"/>
          <w:rtl w:val="0"/>
        </w:rPr>
        <w:t xml:space="preserve">Supporting documents</w:t>
      </w: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4600"/>
        <w:gridCol w:w="1200"/>
        <w:tblGridChange w:id="0">
          <w:tblGrid>
            <w:gridCol w:w="3500"/>
            <w:gridCol w:w="4600"/>
            <w:gridCol w:w="1200"/>
          </w:tblGrid>
        </w:tblGridChange>
      </w:tblGrid>
      <w:tr>
        <w:trPr>
          <w:cantSplit w:val="0"/>
          <w:tblHeader w:val="1"/>
        </w:trPr>
        <w:tc>
          <w:tcPr>
            <w:shd w:fill="14304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304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304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Document_Numbering_RFC.docx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Multi-series gapless numbering proposal — with stakeholders (optional upload)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11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Numbering_Scheme_Tax_Advisor_Briefing.docx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Five written questions for the tax advisor (optional upload)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12 KB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spacing w:after="11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304a"/>
          <w:sz w:val="25"/>
          <w:szCs w:val="25"/>
          <w:rtl w:val="0"/>
        </w:rPr>
        <w:t xml:space="preserve">Status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10" w:line="272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Documents 1–9 are stable baseline content pending federation sign-off. Document 10 is the one live document, updated at each programme gate. Two RFCs are with stakeholders: the numbering design (ADR-11) and the 13-item ratification batch listed in document 10.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QOKrW2Y9ikAwRLYxLRqLVUL74Q==">CgMxLjA4AHIhMUtTTS1YN2xmeTVhUWwxVk1qTk1QUUdqRXdlUnFKVjBH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2026-08-14T02:06:09.978Z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