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04 – Process Flows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4 of 10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Twelve flows, given as numbered actor steps rather than drawn BPMN diagrams, so this stays exact and reviewable in text. Each maps directly onto the document state machines in Document 3 and can be converted to formal BPMN swimlane diagrams at design time without changing the logic.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1: Inter-entity trade cycle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Buying entity, selling entity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Buyer raises an Order against a seller it holds a trading relationship with.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Seller accepts (in full or part, per the allocation rule if stock is short) and sets an indicative ETA.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Order locks for edit/cancel at the configured window before ETA.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Seller dispatches; a Delivery note is created (one or more drops).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Receiving party signs on delivery; a GRN is raised, ownership transfers.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 </w:t>
      </w:r>
      <w:r>
        <w:rPr>
          <w:rFonts w:ascii="Arial" w:cs="Arial" w:eastAsia="Arial" w:hAnsi="Arial"/>
          <w:sz w:val="19"/>
          <w:szCs w:val="19"/>
        </w:rPr>
        <w:t xml:space="preserve">If received quantity differs from dispatched, a Discrepancy is raised and investigated.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 </w:t>
      </w:r>
      <w:r>
        <w:rPr>
          <w:rFonts w:ascii="Arial" w:cs="Arial" w:eastAsia="Arial" w:hAnsi="Arial"/>
          <w:sz w:val="19"/>
          <w:szCs w:val="19"/>
        </w:rPr>
        <w:t xml:space="preserve">Seller issues an Invoice against the closed GRN(s).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 </w:t>
      </w:r>
      <w:r>
        <w:rPr>
          <w:rFonts w:ascii="Arial" w:cs="Arial" w:eastAsia="Arial" w:hAnsi="Arial"/>
          <w:sz w:val="19"/>
          <w:szCs w:val="19"/>
        </w:rPr>
        <w:t xml:space="preserve">Buyer's credit headroom decreases by the invoiced (or, if configured, committed) exposure.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 </w:t>
      </w:r>
      <w:r>
        <w:rPr>
          <w:rFonts w:ascii="Arial" w:cs="Arial" w:eastAsia="Arial" w:hAnsi="Arial"/>
          <w:sz w:val="19"/>
          <w:szCs w:val="19"/>
        </w:rPr>
        <w:t xml:space="preserve">Seller posts a Payment receipt when payment is received; headroom is released.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2: Direct-drop delivery to shops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MPCS (bill-to), Shop (ship-to), Distributor/Fed (seller)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MPCS raises the order; seller accepts against the MPCS's credit relationship.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Seller's vehicle plans a multi-shop route; one Delivery note references several drop points.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At each shop, shop staff sign the GRN on behalf of the owning MPCS.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Ownership transfers to the MPCS at each shop's GRN signature, stock lands directly at that shop location.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MPCS's aggregate inventory (store + all shops) updates accordingly; invoice is raised once against the MPCS.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3: Repack (bulk to retail)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Warehouse/shop staff with repack permission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Staff select a predefined repack recipe (input SKU + quantity → output SKU + quantity, expected yield).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Input batch(es) are consumed from stock.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Output batch is created, inheriting traceability to the input batch(es).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Actual yield is compared to the recipe's expected yield; material variance is flagged for review.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If a mistake is found and output stock is still unsold, a permission-gated Reversal restores the input and removes the output.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4: Write-off (loss, damage, expiry disposal)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Requesting staff, witness, approving role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Staff identify stock to be written off and select a loss category (damaged / expired / theft / shrinkage / other, per the F-01 category list).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A write-off request is raised, capturing photographic evidence where practical.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A different person witnesses physical disposal (segregation of duties: requester ≠ approver).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A permitted role approves; if raised offline, this step is deferred until the site is online.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Stock is removed from the ledger; the event is written to the immutable audit trail.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5: GRN discrepancy handling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Receiving staff, dispatching entity, federation (if unresolved)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Receiving staff record what was actually received, not what was on the dispatch note.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A Discrepancy record is raised automatically where actual ≠ dispatched.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The dispatching entity is notified and investigates within an agreed time limit.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Resolution (correction, replacement, credit note) is agreed bilaterally; the system records the outcome.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If unresolved between the two parties, federation may be drawn in as a fall-back arbiter.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6: Lateral transfer between shops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Shop (short), MPCS, Shop (source)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A shop identifies a stock shortage and raises a request to its MPCS (shops cannot see sibling shop stock directly).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MPCS reviews stock availability across all its shops and its central store.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If another shop or the store can cover it, MPCS approves a lateral Stock transfer (intra-entity, at cost, no invoice).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If not, MPCS raises an Order upward to its distributor (or federation, once that channel is open).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7: Customer credit sale and repayment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Cashier, tagged/credit customer, MPCS accounts role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At billing, cashier tags the sale to a registered customer (looked up by phone; internal ID is the true key).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Sale posts against the customer's entity-scoped account; balance increases.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System checks the account's credit limit; a warning banner shows if headroom is marginal or exceeded — the sale is never blocked on this basis.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Customer later makes a repayment; MPCS accounts role posts it against the account.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Ageing and statement reports are available to the MPCS for that customer.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8: Stocktake / cycle count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Counting staff, approving role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A count task is generated — either scheduled cycle counting or a full stocktake, or system-generated when a batch enters its expiry warning window.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Staff count physical stock; the system compares to the ledger position.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Variance is escalated for approval if it exceeds the configured threshold for that SKU or SKU group.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Approved adjustment posts to the stock ledger, fully audit-logged.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9: Offline sale and synchronisation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Cashier, till (local cache), central system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Till operates from its local cache (catalogue, prices, promotions, tax categories, roles/permissions) with no live connection.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Sale completes locally: price lookup, stock deduction, receipt printed with a till-position series number.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Sale event is queued locally, append-only, immutable.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On reconnection, queued events upload to central; central deduplicates by event ID.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Central checks each till-position series for gaps — a missing number signals an event that has not yet arrived, and is flagged for follow-up.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10: Price / catalogue propagation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MPCS (pricing role), federation (SKU steward), shop tills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MPCS sets or updates its retail price list, or federation updates the shared SKU catalogue.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Change is validated against the MRP ceiling for any regulated item.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Change propagates to all of that MPCS's (or federation's) affected shop till caches on next sync.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A shop offline at the time of change continues selling at its last-cached price until it reconnects.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11: Shop onboarding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MPCS, field deployment team, new shop staff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Shop location is created under its owning MPCS or distributor; till positions are provisioned and register their numbering series.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Hardware is installed; local cache is seeded with the current catalogue, prices and permissions.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Opening stock count is performed and entered as an opening-balance stock position.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Any pre-existing customer/khata balances for that shop are entered as signed, two-party opening-balance documents.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Staff training is delivered against the standard playbook; the shop goes live.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Flow 12: Claim and return to source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Actors: Receiving entity/shop, responsible entity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Damage, shortage or quality issue is identified after GRN — a Claim is raised with photographic evidence.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Responsible entity inspects (per the claim's terms, bilaterally agreed — the system tracks status only).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If approved, a Credit note is issued against the original invoice.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If goods are physically returned, a return movement records the reverse stock and ownership transfer.</w:t>
      </w:r>
    </w:p>
    <w:p>
      <w:pPr>
        <w:spacing w:after="16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2026-08-13T21:11:31.899Z</dcterms:created>
  <dcterms:modified xsi:type="dcterms:W3CDTF">2026-08-13T21:11:31.899Z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