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2A7F8F"/>
          <w:sz w:val="18"/>
          <w:szCs w:val="18"/>
        </w:rPr>
        <w:t xml:space="preserve">Cooperative Retail and Distribution System</w:t>
      </w:r>
    </w:p>
    <w:p>
      <w:pPr>
        <w:spacing w:after="50"/>
      </w:pPr>
      <w:r>
        <w:rPr>
          <w:rFonts w:ascii="Arial" w:cs="Arial" w:eastAsia="Arial" w:hAnsi="Arial"/>
          <w:b/>
          <w:bCs/>
          <w:color w:val="14304A"/>
          <w:sz w:val="30"/>
          <w:szCs w:val="30"/>
        </w:rPr>
        <w:t xml:space="preserve">08 – Traceability Matrix</w:t>
      </w:r>
    </w:p>
    <w:p>
      <w:pPr>
        <w:spacing w:after="200"/>
      </w:pPr>
      <w:r>
        <w:rPr>
          <w:rFonts w:ascii="Arial" w:cs="Arial" w:eastAsia="Arial" w:hAnsi="Arial"/>
          <w:i/>
          <w:iCs/>
          <w:color w:val="5A6470"/>
          <w:sz w:val="18"/>
          <w:szCs w:val="18"/>
        </w:rPr>
        <w:t xml:space="preserve">Baseline requirements package — document 8 of 10</w:t>
      </w:r>
    </w:p>
    <w:tbl>
      <w:tblPr>
        <w:tblW w:type="dxa" w:w="9300"/>
        <w:tblBorders>
          <w:top w:val="single" w:color="2A7F8F" w:sz="14"/>
          <w:left w:val="single" w:color="B8C4CC" w:sz="4"/>
          <w:bottom w:val="single" w:color="B8C4CC" w:sz="4"/>
          <w:right w:val="single" w:color="B8C4CC" w:sz="4"/>
          <w:insideH w:val="single" w:color="auto" w:sz="4"/>
          <w:insideV w:val="single" w:color="auto" w:sz="4"/>
        </w:tblBorders>
      </w:tblPr>
      <w:tblGrid>
        <w:gridCol w:w="9300"/>
      </w:tblGrid>
      <w:tr>
        <w:tc>
          <w:tcPr>
            <w:tcW w:type="dxa" w:w="9300"/>
            <w:shd w:fill="EEF3F6" w:val="clear"/>
            <w:tcMar>
              <w:top w:type="dxa" w:w="120"/>
              <w:left w:type="dxa" w:w="160"/>
              <w:bottom w:type="dxa" w:w="120"/>
              <w:right w:type="dxa" w:w="160"/>
            </w:tcMar>
          </w:tcPr>
          <w:p>
            <w:r>
              <w:rPr>
                <w:rFonts w:ascii="Arial" w:cs="Arial" w:eastAsia="Arial" w:hAnsi="Arial"/>
                <w:i/>
                <w:iCs/>
                <w:color w:val="14304A"/>
                <w:sz w:val="18"/>
                <w:szCs w:val="18"/>
              </w:rPr>
              <w:t xml:space="preserve">One row per question reference from the original clarification questionnaire (Sections A–T), mapped to its resolution, the requirement ID(s) it produced, delivery phase, and status. This is the audit trail connecting every stakeholder answer to a build artifact.</w:t>
            </w:r>
          </w:p>
        </w:tc>
      </w:tr>
    </w:tbl>
    <w:p>
      <w:pPr>
        <w:pStyle w:val="Heading2"/>
        <w:spacing w:after="80" w:before="180"/>
      </w:pPr>
      <w:r>
        <w:rPr>
          <w:rFonts w:ascii="Arial" w:cs="Arial" w:eastAsia="Arial" w:hAnsi="Arial"/>
          <w:b/>
          <w:bCs/>
          <w:color w:val="2A7F8F"/>
          <w:sz w:val="21"/>
          <w:szCs w:val="21"/>
        </w:rPr>
        <w:t xml:space="preserve">Section A — Commercial and Ownership Model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1700"/>
        <w:gridCol w:w="900"/>
        <w:gridCol w:w="1000"/>
      </w:tblGrid>
      <w:tr>
        <w:trPr>
          <w:tblHeader/>
        </w:trPr>
        <w:tc>
          <w:tcPr>
            <w:tcW w:type="dxa" w:w="11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Ref</w:t>
            </w:r>
          </w:p>
        </w:tc>
        <w:tc>
          <w:tcPr>
            <w:tcW w:type="dxa" w:w="46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Topic</w:t>
            </w:r>
          </w:p>
        </w:tc>
        <w:tc>
          <w:tcPr>
            <w:tcW w:type="dxa" w:w="17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Resolution / Requirement(s)</w:t>
            </w:r>
          </w:p>
        </w:tc>
        <w:tc>
          <w:tcPr>
            <w:tcW w:type="dxa" w:w="9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Phase</w:t>
            </w:r>
          </w:p>
        </w:tc>
        <w:tc>
          <w:tcPr>
            <w:tcW w:type="dxa" w:w="10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Status</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A-01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Ownership transfer point</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At GRN confirmation. FR-PTY-050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A-02</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Model differs by category</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No — single global rule</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A-03</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Risk transfer point</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Same as A-01 — GRN signature</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A-04/A-05</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Accept/decline, returns policy</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Documents only, no payment; return terms bilateral between entities</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A-06/A-07</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Pricing cascade</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Fed uniform + manual adj.; Dist.→MPCS negotiated; MPCS→shop one list. FR-PRC-010–030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A-08</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Outside sourcing</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Permitted, open market</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A-09</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Payment terms</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Credit possible, note only, no processing. FR-PAY-040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A-10</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Credit limit enforcement</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Warn only, never block. FR-PAY-060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 — automation post-accounting</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A-11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Override authority</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Admin/higher role, audit-logged</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A-12</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Interest on overdue</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Default rule + manual override, role-permissioned</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 — automation post-accounting</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A-13</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Minimum volume obligation</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No rule</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 — out of scope</w:t>
            </w:r>
          </w:p>
        </w:tc>
      </w:tr>
    </w:tbl>
    <w:p>
      <w:pPr>
        <w:spacing w:after="130"/>
      </w:pPr>
    </w:p>
    <w:p>
      <w:pPr>
        <w:pStyle w:val="Heading2"/>
        <w:spacing w:after="80" w:before="180"/>
      </w:pPr>
      <w:r>
        <w:rPr>
          <w:rFonts w:ascii="Arial" w:cs="Arial" w:eastAsia="Arial" w:hAnsi="Arial"/>
          <w:b/>
          <w:bCs/>
          <w:color w:val="2A7F8F"/>
          <w:sz w:val="21"/>
          <w:szCs w:val="21"/>
        </w:rPr>
        <w:t xml:space="preserve">Section B — SKU Definition and Product Master Data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1700"/>
        <w:gridCol w:w="900"/>
        <w:gridCol w:w="1000"/>
      </w:tblGrid>
      <w:tr>
        <w:trPr>
          <w:tblHeader/>
        </w:trPr>
        <w:tc>
          <w:tcPr>
            <w:tcW w:type="dxa" w:w="11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Ref</w:t>
            </w:r>
          </w:p>
        </w:tc>
        <w:tc>
          <w:tcPr>
            <w:tcW w:type="dxa" w:w="46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Topic</w:t>
            </w:r>
          </w:p>
        </w:tc>
        <w:tc>
          <w:tcPr>
            <w:tcW w:type="dxa" w:w="17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Resolution / Requirement(s)</w:t>
            </w:r>
          </w:p>
        </w:tc>
        <w:tc>
          <w:tcPr>
            <w:tcW w:type="dxa" w:w="9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Phase</w:t>
            </w:r>
          </w:p>
        </w:tc>
        <w:tc>
          <w:tcPr>
            <w:tcW w:type="dxa" w:w="10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Status</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B-01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SKU definition level</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Kept open/flexible by design</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B-02</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Case vs single SKU</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Both patterns supported: UOM conversion OR repack recipe, by scenario. FR-SKU-040/050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B-03</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Two suppliers, one SKU?</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Left open per product, entity decides</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B-04</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Batch attributes</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Same SKU, batch carries cost + supplier + price(cost)</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B-05</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Serialisation</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Not serialised; barcode scan only</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 — out of scope</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B-06</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Loose/weighed goods</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Same SKU priced per kg; repack recipe for bulk→pack. FR-SKU-060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B-07/B-08</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SKU creation authority</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Fed normally; MPCS for local/outsourced; RBAC-controlled</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B-09/B-10</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Local SKU numbering &amp; promotion</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Single global namespace; promote-to-shared with alias mapping. FR-SKU-010/100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B-11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Barcode reliability</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Not guaranteed; weigh-station stickers + manual entry both supported. FR-SKU-080/090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B-12</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Multiple barcodes per SKU</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Many-to-one supported. FR-SKU-070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B-13</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UOM conversion authority</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Shops/MPCS free to sell in any UOM — independent entities</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B-14</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Trilingual master data</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Fed SKUs 3 languages; local 1–2; English short name always mandatory</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B-15</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Category hierarchy</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Not required; tags with governed vocabulary instead. FR-SKU-110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B-16/B-17</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Restricted items, deactivation</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Not relevant for now / no need</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 — out of scope</w:t>
            </w:r>
          </w:p>
        </w:tc>
      </w:tr>
    </w:tbl>
    <w:p>
      <w:pPr>
        <w:spacing w:after="130"/>
      </w:pPr>
    </w:p>
    <w:p>
      <w:r>
        <w:br w:type="page"/>
      </w:r>
    </w:p>
    <w:p>
      <w:pPr>
        <w:pStyle w:val="Heading2"/>
        <w:spacing w:after="80" w:before="180"/>
      </w:pPr>
      <w:r>
        <w:rPr>
          <w:rFonts w:ascii="Arial" w:cs="Arial" w:eastAsia="Arial" w:hAnsi="Arial"/>
          <w:b/>
          <w:bCs/>
          <w:color w:val="2A7F8F"/>
          <w:sz w:val="21"/>
          <w:szCs w:val="21"/>
        </w:rPr>
        <w:t xml:space="preserve">Section C — Requisition, Allocation and Fulfilment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1700"/>
        <w:gridCol w:w="900"/>
        <w:gridCol w:w="1000"/>
      </w:tblGrid>
      <w:tr>
        <w:trPr>
          <w:tblHeader/>
        </w:trPr>
        <w:tc>
          <w:tcPr>
            <w:tcW w:type="dxa" w:w="11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Ref</w:t>
            </w:r>
          </w:p>
        </w:tc>
        <w:tc>
          <w:tcPr>
            <w:tcW w:type="dxa" w:w="46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Topic</w:t>
            </w:r>
          </w:p>
        </w:tc>
        <w:tc>
          <w:tcPr>
            <w:tcW w:type="dxa" w:w="17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Resolution / Requirement(s)</w:t>
            </w:r>
          </w:p>
        </w:tc>
        <w:tc>
          <w:tcPr>
            <w:tcW w:type="dxa" w:w="9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Phase</w:t>
            </w:r>
          </w:p>
        </w:tc>
        <w:tc>
          <w:tcPr>
            <w:tcW w:type="dxa" w:w="10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Status</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C-01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Requisition trigger</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Both manual and system-suggested</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C-02</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Approval requirement</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Manual authorise, multi-role support. FR-ORD-020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C-03/C-04</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Shortfall allocation</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First-come-first-served default, overridable per entity. FR-ORD-030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C-05</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Partial fulfilment</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Supported, remainder as backorder. FR-ORD-040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C-06</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Minimum order qty/value</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Not required for now</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 — dropped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C-07</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Fixed vs ad hoc ordering</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Any time permitted</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C-08</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Amend/cancel window</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Locks N hours before ETA, overridable. FR-ORD-060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C-09</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Emergency requests</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Manual handling</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C-10/C-11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Lateral transfer</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Within MPCS only, MPCS-decided, no fed involvement. FR-ORD-080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C-12</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Stock visibility pre-order</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Yes, live or indicative. FR-ORD-070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C-13</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Lead time / ETA</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Indicative ETA set on acceptance, performance measured. FR-ORD-050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bl>
    <w:p>
      <w:pPr>
        <w:spacing w:after="130"/>
      </w:pPr>
    </w:p>
    <w:p>
      <w:pPr>
        <w:pStyle w:val="Heading2"/>
        <w:spacing w:after="80" w:before="180"/>
      </w:pPr>
      <w:r>
        <w:rPr>
          <w:rFonts w:ascii="Arial" w:cs="Arial" w:eastAsia="Arial" w:hAnsi="Arial"/>
          <w:b/>
          <w:bCs/>
          <w:color w:val="2A7F8F"/>
          <w:sz w:val="21"/>
          <w:szCs w:val="21"/>
        </w:rPr>
        <w:t xml:space="preserve">Section D — Delivery, Goods Receipt and Discrepancies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1700"/>
        <w:gridCol w:w="900"/>
        <w:gridCol w:w="1000"/>
      </w:tblGrid>
      <w:tr>
        <w:trPr>
          <w:tblHeader/>
        </w:trPr>
        <w:tc>
          <w:tcPr>
            <w:tcW w:type="dxa" w:w="11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Ref</w:t>
            </w:r>
          </w:p>
        </w:tc>
        <w:tc>
          <w:tcPr>
            <w:tcW w:type="dxa" w:w="46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Topic</w:t>
            </w:r>
          </w:p>
        </w:tc>
        <w:tc>
          <w:tcPr>
            <w:tcW w:type="dxa" w:w="17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Resolution / Requirement(s)</w:t>
            </w:r>
          </w:p>
        </w:tc>
        <w:tc>
          <w:tcPr>
            <w:tcW w:type="dxa" w:w="9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Phase</w:t>
            </w:r>
          </w:p>
        </w:tc>
        <w:tc>
          <w:tcPr>
            <w:tcW w:type="dxa" w:w="10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Status</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D-01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Delivery method</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Own fleet, not tracked by system</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 — out of scope</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D-02</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Multi-shop routes</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Supported, flexible delivery note options. FR-DEL-010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D-03</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Proof of delivery</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Both mobile app and paper supported</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D-04/D-05</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Receipt counting, discrepancy</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Record actuals, raise discrepancy on variance. FR-DEL-030/040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D-06</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Discrepancy investigation</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Relevant parties + federation as fallback</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D-07</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Damage credit timing</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After inspection and approval</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D-08</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Photo evidence</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Supported. FR-DEL-050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D-09</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Vehicle/driver/timestamp</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Recorded</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D-10</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Returnable containers</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Not tracked</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 — out of scope</w:t>
            </w:r>
          </w:p>
        </w:tc>
      </w:tr>
    </w:tbl>
    <w:p>
      <w:pPr>
        <w:spacing w:after="130"/>
      </w:pPr>
    </w:p>
    <w:p>
      <w:r>
        <w:br w:type="page"/>
      </w:r>
    </w:p>
    <w:p>
      <w:pPr>
        <w:pStyle w:val="Heading2"/>
        <w:spacing w:after="80" w:before="180"/>
      </w:pPr>
      <w:r>
        <w:rPr>
          <w:rFonts w:ascii="Arial" w:cs="Arial" w:eastAsia="Arial" w:hAnsi="Arial"/>
          <w:b/>
          <w:bCs/>
          <w:color w:val="2A7F8F"/>
          <w:sz w:val="21"/>
          <w:szCs w:val="21"/>
        </w:rPr>
        <w:t xml:space="preserve">Section E — Inventory Management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1700"/>
        <w:gridCol w:w="900"/>
        <w:gridCol w:w="1000"/>
      </w:tblGrid>
      <w:tr>
        <w:trPr>
          <w:tblHeader/>
        </w:trPr>
        <w:tc>
          <w:tcPr>
            <w:tcW w:type="dxa" w:w="11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Ref</w:t>
            </w:r>
          </w:p>
        </w:tc>
        <w:tc>
          <w:tcPr>
            <w:tcW w:type="dxa" w:w="46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Topic</w:t>
            </w:r>
          </w:p>
        </w:tc>
        <w:tc>
          <w:tcPr>
            <w:tcW w:type="dxa" w:w="17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Resolution / Requirement(s)</w:t>
            </w:r>
          </w:p>
        </w:tc>
        <w:tc>
          <w:tcPr>
            <w:tcW w:type="dxa" w:w="9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Phase</w:t>
            </w:r>
          </w:p>
        </w:tc>
        <w:tc>
          <w:tcPr>
            <w:tcW w:type="dxa" w:w="10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Status</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E-01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Multiple warehouses</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Yes, fed has multiple</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E-02</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Shelf vs backstore split</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Not tracked separately</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 — out of scope</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E-03</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Costing method</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Weighted average, entity-level policy, no per-transaction override. FR-INV-030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E-04</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FIFO/FEFO</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FEFO default, manual override. FR-INV-040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E-05/E-06</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Count frequency, trade-during-count</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Manual scheduling, manual trade decision</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E-07</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Adjustment approval</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MPCS chairman/accountant, threshold-escalated by SKU/tag</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E-08</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Reorder point calc</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Auto-generated, reviewable, overridable</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P2</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E-09</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Negative stock</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Permitted with consent, exception-logged. FR-INV-060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E-10</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Cold chain</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Handled at delivery (cold vehicle), not system-tracked location</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 — limited scope</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E-11</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Stock ageing</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Required, alert/warning</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P2</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bl>
    <w:p>
      <w:pPr>
        <w:spacing w:after="130"/>
      </w:pPr>
    </w:p>
    <w:p>
      <w:pPr>
        <w:pStyle w:val="Heading2"/>
        <w:spacing w:after="80" w:before="180"/>
      </w:pPr>
      <w:r>
        <w:rPr>
          <w:rFonts w:ascii="Arial" w:cs="Arial" w:eastAsia="Arial" w:hAnsi="Arial"/>
          <w:b/>
          <w:bCs/>
          <w:color w:val="2A7F8F"/>
          <w:sz w:val="21"/>
          <w:szCs w:val="21"/>
        </w:rPr>
        <w:t xml:space="preserve">Section F — Damages, Discards, Expiry and Shrinkage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1700"/>
        <w:gridCol w:w="900"/>
        <w:gridCol w:w="1000"/>
      </w:tblGrid>
      <w:tr>
        <w:trPr>
          <w:tblHeader/>
        </w:trPr>
        <w:tc>
          <w:tcPr>
            <w:tcW w:type="dxa" w:w="11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Ref</w:t>
            </w:r>
          </w:p>
        </w:tc>
        <w:tc>
          <w:tcPr>
            <w:tcW w:type="dxa" w:w="46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Topic</w:t>
            </w:r>
          </w:p>
        </w:tc>
        <w:tc>
          <w:tcPr>
            <w:tcW w:type="dxa" w:w="17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Resolution / Requirement(s)</w:t>
            </w:r>
          </w:p>
        </w:tc>
        <w:tc>
          <w:tcPr>
            <w:tcW w:type="dxa" w:w="9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Phase</w:t>
            </w:r>
          </w:p>
        </w:tc>
        <w:tc>
          <w:tcPr>
            <w:tcW w:type="dxa" w:w="10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Status</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F-01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Loss categories</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Full category list recorded separately. FR-LOSS-010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F-02</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Loss ownership</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Current owner at time of loss bears cost. FR-LOSS-020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F-03</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Claims/returns to supplier</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Claim process, standard workflow. FR-LOSS-060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F-04</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Write-off approval</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Role/permission-based</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F-05</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Witness/photo for write-off</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Required. FR-LOSS-030/040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F-06</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Expiry tracking/alerts</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Batch-level, FEFO-assumed, count-task generation on warning window. FR-INV-050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F-07</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Markdown selling</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Supported, reason/SKU/duration-based rules. FR-PRC-070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F-08</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Disposal certificate</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Not required</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 — out of scope</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F-09</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Shrinkage % reporting</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Required, visibility per matrix</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F-10</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Loss tolerance</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Supported, per-SKU threshold. FR-LOSS-050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F-11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Damaged-saleable distinction</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Handled via markdown rule mechanism</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bl>
    <w:p>
      <w:pPr>
        <w:spacing w:after="130"/>
      </w:pPr>
    </w:p>
    <w:p>
      <w:r>
        <w:br w:type="page"/>
      </w:r>
    </w:p>
    <w:p>
      <w:pPr>
        <w:pStyle w:val="Heading2"/>
        <w:spacing w:after="80" w:before="180"/>
      </w:pPr>
      <w:r>
        <w:rPr>
          <w:rFonts w:ascii="Arial" w:cs="Arial" w:eastAsia="Arial" w:hAnsi="Arial"/>
          <w:b/>
          <w:bCs/>
          <w:color w:val="2A7F8F"/>
          <w:sz w:val="21"/>
          <w:szCs w:val="21"/>
        </w:rPr>
        <w:t xml:space="preserve">Section G — Pricing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1700"/>
        <w:gridCol w:w="900"/>
        <w:gridCol w:w="1000"/>
      </w:tblGrid>
      <w:tr>
        <w:trPr>
          <w:tblHeader/>
        </w:trPr>
        <w:tc>
          <w:tcPr>
            <w:tcW w:type="dxa" w:w="11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Ref</w:t>
            </w:r>
          </w:p>
        </w:tc>
        <w:tc>
          <w:tcPr>
            <w:tcW w:type="dxa" w:w="46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Topic</w:t>
            </w:r>
          </w:p>
        </w:tc>
        <w:tc>
          <w:tcPr>
            <w:tcW w:type="dxa" w:w="17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Resolution / Requirement(s)</w:t>
            </w:r>
          </w:p>
        </w:tc>
        <w:tc>
          <w:tcPr>
            <w:tcW w:type="dxa" w:w="9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Phase</w:t>
            </w:r>
          </w:p>
        </w:tc>
        <w:tc>
          <w:tcPr>
            <w:tcW w:type="dxa" w:w="10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Status</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G-01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Who sets retail price</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MPCS decides; fed may recommend (advisory). FR-PRC-030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G-02</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Shop price deviation</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No — shops never deviate from MPCS list. FR-PRC-030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G-03</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MRP ceiling enforcement</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Required, per-batch validation. FR-PRC-040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G-04</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Member/loyalty pricing</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Not supported, no loyalty programme. FR-PRC-050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G-05/G-06</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Promotions, funding</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Supported, MPCS-decided and MPCS-funded. FR-PRC-070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G-07</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Manual till discount</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Rescinded — rule engine only, no discretionary discount. FR-PRC-060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 — superseded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G-08</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Scheduled price changes</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Not supported for now</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 — dropped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G-09</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Tax-inclusive pricing</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Yes, consistent across shops. FR-PRC-120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G-10</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Rounding</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2 decimals stored; cash rounds to rupee. FR-PRC-130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bl>
    <w:p>
      <w:pPr>
        <w:spacing w:after="130"/>
      </w:pPr>
    </w:p>
    <w:p>
      <w:pPr>
        <w:pStyle w:val="Heading2"/>
        <w:spacing w:after="80" w:before="180"/>
      </w:pPr>
      <w:r>
        <w:rPr>
          <w:rFonts w:ascii="Arial" w:cs="Arial" w:eastAsia="Arial" w:hAnsi="Arial"/>
          <w:b/>
          <w:bCs/>
          <w:color w:val="2A7F8F"/>
          <w:sz w:val="21"/>
          <w:szCs w:val="21"/>
        </w:rPr>
        <w:t xml:space="preserve">Section H — Point of Sale and Offline Operation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1700"/>
        <w:gridCol w:w="900"/>
        <w:gridCol w:w="1000"/>
      </w:tblGrid>
      <w:tr>
        <w:trPr>
          <w:tblHeader/>
        </w:trPr>
        <w:tc>
          <w:tcPr>
            <w:tcW w:type="dxa" w:w="11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Ref</w:t>
            </w:r>
          </w:p>
        </w:tc>
        <w:tc>
          <w:tcPr>
            <w:tcW w:type="dxa" w:w="46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Topic</w:t>
            </w:r>
          </w:p>
        </w:tc>
        <w:tc>
          <w:tcPr>
            <w:tcW w:type="dxa" w:w="17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Resolution / Requirement(s)</w:t>
            </w:r>
          </w:p>
        </w:tc>
        <w:tc>
          <w:tcPr>
            <w:tcW w:type="dxa" w:w="9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Phase</w:t>
            </w:r>
          </w:p>
        </w:tc>
        <w:tc>
          <w:tcPr>
            <w:tcW w:type="dxa" w:w="10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Status</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H-01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Longest offline period</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1–2 days (power cuts). NFR-AVL-020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H-02</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Offline operations</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Sale, refund (same-till), stock deduction from cache. FR-POS-010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H-03</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Blocked offline ops</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Orders, card payment, master-data changes, cross-till refunds. FR-POS-040/050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H-04</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Conflict resolution</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No merge needed — one writer per record type. FR-POS-060, NFR-OFF-010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H-05</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Card payment offline</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Cash only offline; card via standalone terminal online</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H-06</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Till lanes per shop</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Varies by shop size — needs shop-size-mix data</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Open (data item)</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H-07</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Peripherals</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All types supported via abstraction layer. FR-POS-100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H-08</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Hardware type</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POS terminal, new hardware</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H-09</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Receipt language</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Per shop. FR-POS-090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H-10</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Refund/void authorisation</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Role/permission-based</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H-11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Park/suspend sale</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Supported. FR-POS-020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H-12</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Peak/daily volume</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Moderate, no hard stats — covered by growth envelope planning</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 (planning basis adopted)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H-13</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Cashier attribution</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Required. FR-POS-080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H-14</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Home delivery/online order</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Not now, maybe later</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Parked</w:t>
            </w:r>
          </w:p>
        </w:tc>
      </w:tr>
    </w:tbl>
    <w:p>
      <w:pPr>
        <w:spacing w:after="130"/>
      </w:pPr>
    </w:p>
    <w:p>
      <w:r>
        <w:br w:type="page"/>
      </w:r>
    </w:p>
    <w:p>
      <w:pPr>
        <w:pStyle w:val="Heading2"/>
        <w:spacing w:after="80" w:before="180"/>
      </w:pPr>
      <w:r>
        <w:rPr>
          <w:rFonts w:ascii="Arial" w:cs="Arial" w:eastAsia="Arial" w:hAnsi="Arial"/>
          <w:b/>
          <w:bCs/>
          <w:color w:val="2A7F8F"/>
          <w:sz w:val="21"/>
          <w:szCs w:val="21"/>
        </w:rPr>
        <w:t xml:space="preserve">Section I — Payments, Cash and Settlement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1700"/>
        <w:gridCol w:w="900"/>
        <w:gridCol w:w="1000"/>
      </w:tblGrid>
      <w:tr>
        <w:trPr>
          <w:tblHeader/>
        </w:trPr>
        <w:tc>
          <w:tcPr>
            <w:tcW w:type="dxa" w:w="11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Ref</w:t>
            </w:r>
          </w:p>
        </w:tc>
        <w:tc>
          <w:tcPr>
            <w:tcW w:type="dxa" w:w="46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Topic</w:t>
            </w:r>
          </w:p>
        </w:tc>
        <w:tc>
          <w:tcPr>
            <w:tcW w:type="dxa" w:w="17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Resolution / Requirement(s)</w:t>
            </w:r>
          </w:p>
        </w:tc>
        <w:tc>
          <w:tcPr>
            <w:tcW w:type="dxa" w:w="9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Phase</w:t>
            </w:r>
          </w:p>
        </w:tc>
        <w:tc>
          <w:tcPr>
            <w:tcW w:type="dxa" w:w="10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Status</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I-01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Tender types</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All types recorded (not processed); cash/card first. FR-PAY-010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I-02</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Customer credit accounts</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Required, system-managed. FR-PAY-020, FR-CUS-040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I-03</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Till cash management</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Full support: float, drops, blind close, variance. FR-PAY-030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I-04</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Banking record</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Recorded now; accounting integration later</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I-05</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Settlement method</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Cash/bank deposit (shop→MPCS); cheque (MPCS↔Dist.r)</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I-06</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Statements</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Yes, at defined frequency</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I-07</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Payment-to-invoice matching</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Matched to specific invoices. FR-PAY-080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I-08</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Foreign currency</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Fed only</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P2</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bl>
    <w:p>
      <w:pPr>
        <w:spacing w:after="130"/>
      </w:pPr>
    </w:p>
    <w:p>
      <w:pPr>
        <w:pStyle w:val="Heading2"/>
        <w:spacing w:after="80" w:before="180"/>
      </w:pPr>
      <w:r>
        <w:rPr>
          <w:rFonts w:ascii="Arial" w:cs="Arial" w:eastAsia="Arial" w:hAnsi="Arial"/>
          <w:b/>
          <w:bCs/>
          <w:color w:val="2A7F8F"/>
          <w:sz w:val="21"/>
          <w:szCs w:val="21"/>
        </w:rPr>
        <w:t xml:space="preserve">Section J — Inter-entity Billing and Accounting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1700"/>
        <w:gridCol w:w="900"/>
        <w:gridCol w:w="1000"/>
      </w:tblGrid>
      <w:tr>
        <w:trPr>
          <w:tblHeader/>
        </w:trPr>
        <w:tc>
          <w:tcPr>
            <w:tcW w:type="dxa" w:w="11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Ref</w:t>
            </w:r>
          </w:p>
        </w:tc>
        <w:tc>
          <w:tcPr>
            <w:tcW w:type="dxa" w:w="46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Topic</w:t>
            </w:r>
          </w:p>
        </w:tc>
        <w:tc>
          <w:tcPr>
            <w:tcW w:type="dxa" w:w="17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Resolution / Requirement(s)</w:t>
            </w:r>
          </w:p>
        </w:tc>
        <w:tc>
          <w:tcPr>
            <w:tcW w:type="dxa" w:w="9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Phase</w:t>
            </w:r>
          </w:p>
        </w:tc>
        <w:tc>
          <w:tcPr>
            <w:tcW w:type="dxa" w:w="10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Status</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J-01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Full accounting scope</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No — accounting system integrates later. FR-BIL-010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J-02</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AR/AP export format</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N/A yet — journal-mapping designed in. FR-BIL-020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J-03</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Tax regime</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Standard VAT, all chain entities registered. FR-BIL-030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J-04</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E-invoicing mandate</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Expected near-term — readiness built, integration deferred. FR-BIL-110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P1/P3</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J-05</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Numbering rules</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Multi-series gapless — RFC with stakeholders. FR-BIL-050–100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RFC in discussion</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J-06</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Retention period</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Indefinite for now</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 — pending final policy</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J-07</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Credit/debit notes</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Required at all tiers. FR-BIL-130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J-08</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Financial year</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Common across all entities. FR-BIL-140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J-09</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Auditor access</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Entity-scoped; fed auditors global. FR-BIL-150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bl>
    <w:p>
      <w:pPr>
        <w:spacing w:after="130"/>
      </w:pPr>
    </w:p>
    <w:p>
      <w:r>
        <w:br w:type="page"/>
      </w:r>
    </w:p>
    <w:p>
      <w:pPr>
        <w:pStyle w:val="Heading2"/>
        <w:spacing w:after="80" w:before="180"/>
      </w:pPr>
      <w:r>
        <w:rPr>
          <w:rFonts w:ascii="Arial" w:cs="Arial" w:eastAsia="Arial" w:hAnsi="Arial"/>
          <w:b/>
          <w:bCs/>
          <w:color w:val="2A7F8F"/>
          <w:sz w:val="21"/>
          <w:szCs w:val="21"/>
        </w:rPr>
        <w:t xml:space="preserve">Section K — Membership and Patronage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1700"/>
        <w:gridCol w:w="900"/>
        <w:gridCol w:w="1000"/>
      </w:tblGrid>
      <w:tr>
        <w:trPr>
          <w:tblHeader/>
        </w:trPr>
        <w:tc>
          <w:tcPr>
            <w:tcW w:type="dxa" w:w="11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Ref</w:t>
            </w:r>
          </w:p>
        </w:tc>
        <w:tc>
          <w:tcPr>
            <w:tcW w:type="dxa" w:w="46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Topic</w:t>
            </w:r>
          </w:p>
        </w:tc>
        <w:tc>
          <w:tcPr>
            <w:tcW w:type="dxa" w:w="17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Resolution / Requirement(s)</w:t>
            </w:r>
          </w:p>
        </w:tc>
        <w:tc>
          <w:tcPr>
            <w:tcW w:type="dxa" w:w="9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Phase</w:t>
            </w:r>
          </w:p>
        </w:tc>
        <w:tc>
          <w:tcPr>
            <w:tcW w:type="dxa" w:w="10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Status</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K-01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Distinguish members at POS</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No — members not tracked; registered customers only where tagged</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K-02</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Member registry scope</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Global identity, entity-scoped account. FR-CUS-010/040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K-03</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Preferential member pricing</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Per-customer rates, later phase. FR-PRC-110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P3</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 — deferred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K-04–K-07</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Rebates, share capital, loans, governance</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All out of scope — accounting system territory</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 — out of scope</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K-08</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Member PII depth</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Minimal — phone, name. FR-CUS-060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bl>
    <w:p>
      <w:pPr>
        <w:spacing w:after="130"/>
      </w:pPr>
    </w:p>
    <w:p>
      <w:pPr>
        <w:pStyle w:val="Heading2"/>
        <w:spacing w:after="80" w:before="180"/>
      </w:pPr>
      <w:r>
        <w:rPr>
          <w:rFonts w:ascii="Arial" w:cs="Arial" w:eastAsia="Arial" w:hAnsi="Arial"/>
          <w:b/>
          <w:bCs/>
          <w:color w:val="2A7F8F"/>
          <w:sz w:val="21"/>
          <w:szCs w:val="21"/>
        </w:rPr>
        <w:t xml:space="preserve">Section L — Central Procurement and Supplier Management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1700"/>
        <w:gridCol w:w="900"/>
        <w:gridCol w:w="1000"/>
      </w:tblGrid>
      <w:tr>
        <w:trPr>
          <w:tblHeader/>
        </w:trPr>
        <w:tc>
          <w:tcPr>
            <w:tcW w:type="dxa" w:w="11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Ref</w:t>
            </w:r>
          </w:p>
        </w:tc>
        <w:tc>
          <w:tcPr>
            <w:tcW w:type="dxa" w:w="46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Topic</w:t>
            </w:r>
          </w:p>
        </w:tc>
        <w:tc>
          <w:tcPr>
            <w:tcW w:type="dxa" w:w="17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Resolution / Requirement(s)</w:t>
            </w:r>
          </w:p>
        </w:tc>
        <w:tc>
          <w:tcPr>
            <w:tcW w:type="dxa" w:w="9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Phase</w:t>
            </w:r>
          </w:p>
        </w:tc>
        <w:tc>
          <w:tcPr>
            <w:tcW w:type="dxa" w:w="10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Status</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L-01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Fed procurement scope</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In scope — market price intelligence. FR-PRO-010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P2</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L-02</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Demand forecasting/BI</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Required, region/season/product. Price forecasting = scenario tool only</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P2/P3</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L-03</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Supplier contracts</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Managed in system. FR-PRO-020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P2</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L-04</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Tender/quotation process</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Quotation register, phase 1 shape. FR-PRO-030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P2</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L-05</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Landed cost</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Required, feeds batch cost. FR-PRO-040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P2</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L-06</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Fed repacking</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Not now, maybe later this year — permission flip when enabled. FR-PRO-060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P3</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 — deferred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L-07</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Supplier performance</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Required, derived from PO-vs-GRN. FR-PRO-050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P2</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bl>
    <w:p>
      <w:pPr>
        <w:spacing w:after="130"/>
      </w:pPr>
    </w:p>
    <w:p>
      <w:r>
        <w:br w:type="page"/>
      </w:r>
    </w:p>
    <w:p>
      <w:pPr>
        <w:pStyle w:val="Heading2"/>
        <w:spacing w:after="80" w:before="180"/>
      </w:pPr>
      <w:r>
        <w:rPr>
          <w:rFonts w:ascii="Arial" w:cs="Arial" w:eastAsia="Arial" w:hAnsi="Arial"/>
          <w:b/>
          <w:bCs/>
          <w:color w:val="2A7F8F"/>
          <w:sz w:val="21"/>
          <w:szCs w:val="21"/>
        </w:rPr>
        <w:t xml:space="preserve">Section M — Data Ownership, Visibility and Governance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1700"/>
        <w:gridCol w:w="900"/>
        <w:gridCol w:w="1000"/>
      </w:tblGrid>
      <w:tr>
        <w:trPr>
          <w:tblHeader/>
        </w:trPr>
        <w:tc>
          <w:tcPr>
            <w:tcW w:type="dxa" w:w="11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Ref</w:t>
            </w:r>
          </w:p>
        </w:tc>
        <w:tc>
          <w:tcPr>
            <w:tcW w:type="dxa" w:w="46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Topic</w:t>
            </w:r>
          </w:p>
        </w:tc>
        <w:tc>
          <w:tcPr>
            <w:tcW w:type="dxa" w:w="17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Resolution / Requirement(s)</w:t>
            </w:r>
          </w:p>
        </w:tc>
        <w:tc>
          <w:tcPr>
            <w:tcW w:type="dxa" w:w="9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Phase</w:t>
            </w:r>
          </w:p>
        </w:tc>
        <w:tc>
          <w:tcPr>
            <w:tcW w:type="dxa" w:w="10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Status</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M-01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Data ownership</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Jointly — legal opinion on Co-op Act pending</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Design closed; legal opinion open</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M-02–M-04</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Fed visibility scope</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Fed sees everything, view-only. FR-GOV-010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M-05</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Lateral shop visibility</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No — MPCS mediates. FR-GOV-030 (supersedes earlier C-10 answer)</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M-06</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Anonymised tier</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Not needed — full visibility replaces it</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 — superseded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M-07</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Society leaving federation</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Cannot leave; data retained indefinitely. FR-GOV-060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M-08</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User administration</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Self-administer + MPCS over shops; no downward fed admin. FR-GOV-040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M-09</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PDPA/officer</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Responsible officer per entity named</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M-10</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Regulator access</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External read-only role for Co-op Department. FR-GOV-050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M-11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Data-sharing agreement</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None exists — flagged as near-mandatory to draft</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Open (legal action)</w:t>
            </w:r>
          </w:p>
        </w:tc>
      </w:tr>
    </w:tbl>
    <w:p>
      <w:pPr>
        <w:spacing w:after="130"/>
      </w:pPr>
    </w:p>
    <w:p>
      <w:pPr>
        <w:pStyle w:val="Heading2"/>
        <w:spacing w:after="80" w:before="180"/>
      </w:pPr>
      <w:r>
        <w:rPr>
          <w:rFonts w:ascii="Arial" w:cs="Arial" w:eastAsia="Arial" w:hAnsi="Arial"/>
          <w:b/>
          <w:bCs/>
          <w:color w:val="2A7F8F"/>
          <w:sz w:val="21"/>
          <w:szCs w:val="21"/>
        </w:rPr>
        <w:t xml:space="preserve">Section N — Security, Roles and Internal Controls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1700"/>
        <w:gridCol w:w="900"/>
        <w:gridCol w:w="1000"/>
      </w:tblGrid>
      <w:tr>
        <w:trPr>
          <w:tblHeader/>
        </w:trPr>
        <w:tc>
          <w:tcPr>
            <w:tcW w:type="dxa" w:w="11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Ref</w:t>
            </w:r>
          </w:p>
        </w:tc>
        <w:tc>
          <w:tcPr>
            <w:tcW w:type="dxa" w:w="46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Topic</w:t>
            </w:r>
          </w:p>
        </w:tc>
        <w:tc>
          <w:tcPr>
            <w:tcW w:type="dxa" w:w="17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Resolution / Requirement(s)</w:t>
            </w:r>
          </w:p>
        </w:tc>
        <w:tc>
          <w:tcPr>
            <w:tcW w:type="dxa" w:w="9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Phase</w:t>
            </w:r>
          </w:p>
        </w:tc>
        <w:tc>
          <w:tcPr>
            <w:tcW w:type="dxa" w:w="10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Status</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N-01/N-02</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Roles required</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Default set + dynamic creation. FR-SEC-010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N-03</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Till authentication</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Short PIN, recommended and confirmed. FR-SEC-020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N-04</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MFA requirement</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Required for financial/admin. FR-SEC-030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N-05</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Immutable audit events</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Full catalogue defined, Document 7. FR-SEC-040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N-06</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Exception reports</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To be finalised alongside report catalogue</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Open — workshop</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N-07</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Segregation of duties</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Required (e.g., write-off). FR-SEC-050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N-08</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Account deactivation</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Deactivate, retain data. FR-SEC-060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N-09</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Idle lock</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Defaults set: 2–3/10–15/5 min. FR-SEC-070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bl>
    <w:p>
      <w:pPr>
        <w:spacing w:after="130"/>
      </w:pPr>
    </w:p>
    <w:p>
      <w:r>
        <w:br w:type="page"/>
      </w:r>
    </w:p>
    <w:p>
      <w:pPr>
        <w:pStyle w:val="Heading2"/>
        <w:spacing w:after="80" w:before="180"/>
      </w:pPr>
      <w:r>
        <w:rPr>
          <w:rFonts w:ascii="Arial" w:cs="Arial" w:eastAsia="Arial" w:hAnsi="Arial"/>
          <w:b/>
          <w:bCs/>
          <w:color w:val="2A7F8F"/>
          <w:sz w:val="21"/>
          <w:szCs w:val="21"/>
        </w:rPr>
        <w:t xml:space="preserve">Section O–T — Reporting, Localisation, Infrastructure, Migration, Programme, Risks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1700"/>
        <w:gridCol w:w="900"/>
        <w:gridCol w:w="1000"/>
      </w:tblGrid>
      <w:tr>
        <w:trPr>
          <w:tblHeader/>
        </w:trPr>
        <w:tc>
          <w:tcPr>
            <w:tcW w:type="dxa" w:w="11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Ref</w:t>
            </w:r>
          </w:p>
        </w:tc>
        <w:tc>
          <w:tcPr>
            <w:tcW w:type="dxa" w:w="46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Topic</w:t>
            </w:r>
          </w:p>
        </w:tc>
        <w:tc>
          <w:tcPr>
            <w:tcW w:type="dxa" w:w="17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Resolution / Requirement(s)</w:t>
            </w:r>
          </w:p>
        </w:tc>
        <w:tc>
          <w:tcPr>
            <w:tcW w:type="dxa" w:w="9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Phase</w:t>
            </w:r>
          </w:p>
        </w:tc>
        <w:tc>
          <w:tcPr>
            <w:tcW w:type="dxa" w:w="1000"/>
            <w:shd w:fill="14304A" w:val="clear"/>
            <w:tcMar>
              <w:top w:type="dxa" w:w="60"/>
              <w:left w:type="dxa" w:w="90"/>
              <w:bottom w:type="dxa" w:w="60"/>
              <w:right w:type="dxa" w:w="90"/>
            </w:tcMar>
            <w:vAlign w:val="center"/>
          </w:tcPr>
          <w:p>
            <w:r>
              <w:rPr>
                <w:rFonts w:ascii="Arial" w:cs="Arial" w:eastAsia="Arial" w:hAnsi="Arial"/>
                <w:b/>
                <w:bCs/>
                <w:color w:val="FFFFFF"/>
                <w:sz w:val="13"/>
                <w:szCs w:val="13"/>
              </w:rPr>
              <w:t xml:space="preserve">Status</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O-01–O-05</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Reporting</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Near-real-time preferred; fixed catalogue + export for P1; report workshop needed. FR-REP-010–050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 catalogue detail open</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P-01–P-09</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Localisation</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Per-shop language, English fallback, ICU collation required. FR-LOC-010–030</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Q-01</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Hosting location</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No residency constraint — AWS Mumbai adopted</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Q-02</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Ops ownership</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In-house team, 1 DevOps engineer assumption</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Q-03/Q-04</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RTO/RPO, availability</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4–8h / 15min; 24x7 trading capable. NFR-AVL-010/040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Q-05</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5-year growth</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Worst-case envelope adopted — 10k shops/3yr, 12k/5yr</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Q-06</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Connectivity spec</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Go-live gate values defined (~2Mbps/0.5)</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Q-07</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Power reliability</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UPS-backed till, safe-shutdown design</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Q-08</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Existing infra constraint</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Government IT policy check pending</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Open (legal/policy check)</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Q-09</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Support model</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Extended trading hours + on-call, ratio-based scaling recommended</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 — cost decision</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Q-10</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Update deferral</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No indefinite deferral — forced within a window. NFR-UPD-030</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R-01–R-09</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Migration/integration</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No existing POS; opening balances + stock counts only; notifications configurable</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P1</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Closed</w:t>
            </w:r>
          </w:p>
        </w:tc>
      </w:tr>
      <w:tr>
        <w:tc>
          <w:tcPr>
            <w:tcW w:type="dxa" w:w="1100"/>
            <w:shd w:fill="FFFFFF" w:val="clear"/>
            <w:tcMar>
              <w:top w:type="dxa" w:w="55"/>
              <w:left w:type="dxa" w:w="90"/>
              <w:bottom w:type="dxa" w:w="55"/>
              <w:right w:type="dxa" w:w="90"/>
            </w:tcMar>
            <w:vAlign w:val="center"/>
          </w:tcPr>
          <w:p>
            <w:r>
              <w:rPr>
                <w:rFonts w:ascii="Arial" w:cs="Arial" w:eastAsia="Arial" w:hAnsi="Arial"/>
                <w:sz w:val="13"/>
                <w:szCs w:val="13"/>
              </w:rPr>
              <w:t xml:space="preserve">S-01–S-10</w:t>
            </w:r>
          </w:p>
        </w:tc>
        <w:tc>
          <w:tcPr>
            <w:tcW w:type="dxa" w:w="4600"/>
            <w:shd w:fill="FFFFFF" w:val="clear"/>
            <w:tcMar>
              <w:top w:type="dxa" w:w="55"/>
              <w:left w:type="dxa" w:w="90"/>
              <w:bottom w:type="dxa" w:w="55"/>
              <w:right w:type="dxa" w:w="90"/>
            </w:tcMar>
            <w:vAlign w:val="center"/>
          </w:tcPr>
          <w:p>
            <w:r>
              <w:rPr>
                <w:rFonts w:ascii="Arial" w:cs="Arial" w:eastAsia="Arial" w:hAnsi="Arial"/>
                <w:sz w:val="13"/>
                <w:szCs w:val="13"/>
              </w:rPr>
              <w:t xml:space="preserve">Programme/rollout</w:t>
            </w:r>
          </w:p>
        </w:tc>
        <w:tc>
          <w:tcPr>
            <w:tcW w:type="dxa" w:w="1700"/>
            <w:shd w:fill="FFFFFF" w:val="clear"/>
            <w:tcMar>
              <w:top w:type="dxa" w:w="55"/>
              <w:left w:type="dxa" w:w="90"/>
              <w:bottom w:type="dxa" w:w="55"/>
              <w:right w:type="dxa" w:w="90"/>
            </w:tcMar>
            <w:vAlign w:val="center"/>
          </w:tcPr>
          <w:p>
            <w:r>
              <w:rPr>
                <w:rFonts w:ascii="Arial" w:cs="Arial" w:eastAsia="Arial" w:hAnsi="Arial"/>
                <w:sz w:val="13"/>
                <w:szCs w:val="13"/>
              </w:rPr>
              <w:t xml:space="preserve">Fed admins sign freeze; adoption compulsory per rollout; no go-live date in docs; usage fees not modelled</w:t>
            </w:r>
          </w:p>
        </w:tc>
        <w:tc>
          <w:tcPr>
            <w:tcW w:type="dxa" w:w="900"/>
            <w:shd w:fill="FFFFFF" w:val="clear"/>
            <w:tcMar>
              <w:top w:type="dxa" w:w="55"/>
              <w:left w:type="dxa" w:w="90"/>
              <w:bottom w:type="dxa" w:w="55"/>
              <w:right w:type="dxa" w:w="90"/>
            </w:tcMar>
            <w:vAlign w:val="center"/>
          </w:tcPr>
          <w:p>
            <w:r>
              <w:rPr>
                <w:rFonts w:ascii="Arial" w:cs="Arial" w:eastAsia="Arial" w:hAnsi="Arial"/>
                <w:sz w:val="13"/>
                <w:szCs w:val="13"/>
              </w:rPr>
              <w:t xml:space="preserve">—</w:t>
            </w:r>
          </w:p>
        </w:tc>
        <w:tc>
          <w:tcPr>
            <w:tcW w:type="dxa" w:w="1000"/>
            <w:shd w:fill="FFFFFF" w:val="clear"/>
            <w:tcMar>
              <w:top w:type="dxa" w:w="55"/>
              <w:left w:type="dxa" w:w="90"/>
              <w:bottom w:type="dxa" w:w="55"/>
              <w:right w:type="dxa" w:w="90"/>
            </w:tcMar>
            <w:vAlign w:val="center"/>
          </w:tcPr>
          <w:p>
            <w:r>
              <w:rPr>
                <w:rFonts w:ascii="Arial" w:cs="Arial" w:eastAsia="Arial" w:hAnsi="Arial"/>
                <w:sz w:val="13"/>
                <w:szCs w:val="13"/>
              </w:rPr>
              <w:t xml:space="preserve">Closed (programme, not FR/NFR)</w:t>
            </w:r>
          </w:p>
        </w:tc>
      </w:tr>
      <w:tr>
        <w:tc>
          <w:tcPr>
            <w:tcW w:type="dxa" w:w="1100"/>
            <w:shd w:fill="F5F8FA" w:val="clear"/>
            <w:tcMar>
              <w:top w:type="dxa" w:w="55"/>
              <w:left w:type="dxa" w:w="90"/>
              <w:bottom w:type="dxa" w:w="55"/>
              <w:right w:type="dxa" w:w="90"/>
            </w:tcMar>
            <w:vAlign w:val="center"/>
          </w:tcPr>
          <w:p>
            <w:r>
              <w:rPr>
                <w:rFonts w:ascii="Arial" w:cs="Arial" w:eastAsia="Arial" w:hAnsi="Arial"/>
                <w:sz w:val="13"/>
                <w:szCs w:val="13"/>
              </w:rPr>
              <w:t xml:space="preserve">T-01–T-07</w:t>
            </w:r>
          </w:p>
        </w:tc>
        <w:tc>
          <w:tcPr>
            <w:tcW w:type="dxa" w:w="4600"/>
            <w:shd w:fill="F5F8FA" w:val="clear"/>
            <w:tcMar>
              <w:top w:type="dxa" w:w="55"/>
              <w:left w:type="dxa" w:w="90"/>
              <w:bottom w:type="dxa" w:w="55"/>
              <w:right w:type="dxa" w:w="90"/>
            </w:tcMar>
            <w:vAlign w:val="center"/>
          </w:tcPr>
          <w:p>
            <w:r>
              <w:rPr>
                <w:rFonts w:ascii="Arial" w:cs="Arial" w:eastAsia="Arial" w:hAnsi="Arial"/>
                <w:sz w:val="13"/>
                <w:szCs w:val="13"/>
              </w:rPr>
              <w:t xml:space="preserve">Risks/assumptions</w:t>
            </w:r>
          </w:p>
        </w:tc>
        <w:tc>
          <w:tcPr>
            <w:tcW w:type="dxa" w:w="1700"/>
            <w:shd w:fill="F5F8FA" w:val="clear"/>
            <w:tcMar>
              <w:top w:type="dxa" w:w="55"/>
              <w:left w:type="dxa" w:w="90"/>
              <w:bottom w:type="dxa" w:w="55"/>
              <w:right w:type="dxa" w:w="90"/>
            </w:tcMar>
            <w:vAlign w:val="center"/>
          </w:tcPr>
          <w:p>
            <w:r>
              <w:rPr>
                <w:rFonts w:ascii="Arial" w:cs="Arial" w:eastAsia="Arial" w:hAnsi="Arial"/>
                <w:sz w:val="13"/>
                <w:szCs w:val="13"/>
              </w:rPr>
              <w:t xml:space="preserve">T-01 (decision speed) and T-03 (data steward) remain the top programme risks; others resolved by design</w:t>
            </w:r>
          </w:p>
        </w:tc>
        <w:tc>
          <w:tcPr>
            <w:tcW w:type="dxa" w:w="900"/>
            <w:shd w:fill="F5F8FA" w:val="clear"/>
            <w:tcMar>
              <w:top w:type="dxa" w:w="55"/>
              <w:left w:type="dxa" w:w="90"/>
              <w:bottom w:type="dxa" w:w="55"/>
              <w:right w:type="dxa" w:w="90"/>
            </w:tcMar>
            <w:vAlign w:val="center"/>
          </w:tcPr>
          <w:p>
            <w:r>
              <w:rPr>
                <w:rFonts w:ascii="Arial" w:cs="Arial" w:eastAsia="Arial" w:hAnsi="Arial"/>
                <w:sz w:val="13"/>
                <w:szCs w:val="13"/>
              </w:rPr>
              <w:t xml:space="preserve">—</w:t>
            </w:r>
          </w:p>
        </w:tc>
        <w:tc>
          <w:tcPr>
            <w:tcW w:type="dxa" w:w="1000"/>
            <w:shd w:fill="F5F8FA" w:val="clear"/>
            <w:tcMar>
              <w:top w:type="dxa" w:w="55"/>
              <w:left w:type="dxa" w:w="90"/>
              <w:bottom w:type="dxa" w:w="55"/>
              <w:right w:type="dxa" w:w="90"/>
            </w:tcMar>
            <w:vAlign w:val="center"/>
          </w:tcPr>
          <w:p>
            <w:r>
              <w:rPr>
                <w:rFonts w:ascii="Arial" w:cs="Arial" w:eastAsia="Arial" w:hAnsi="Arial"/>
                <w:sz w:val="13"/>
                <w:szCs w:val="13"/>
              </w:rPr>
              <w:t xml:space="preserve">Tracked in Doc 10</w:t>
            </w:r>
          </w:p>
        </w:tc>
      </w:tr>
    </w:tbl>
    <w:p>
      <w:pPr>
        <w:spacing w:after="130"/>
      </w:pP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59"/>
      </w:pPr>
    </w:lvl>
  </w:abstractNum>
  <w:abstractNum w:abstractNumId="3"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2026-08-13T21:15:40.019Z</dcterms:created>
  <dcterms:modified xsi:type="dcterms:W3CDTF">2026-08-13T21:15:40.019Z</dcterms:modified>
</cp:coreProperties>
</file>

<file path=docProps/custom.xml><?xml version="1.0" encoding="utf-8"?>
<Properties xmlns="http://schemas.openxmlformats.org/officeDocument/2006/custom-properties" xmlns:vt="http://schemas.openxmlformats.org/officeDocument/2006/docPropsVTypes"/>
</file>