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2A7F8F"/>
          <w:sz w:val="18"/>
          <w:szCs w:val="18"/>
        </w:rPr>
        <w:t xml:space="preserve">Cooperative Retail and Distribution System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4304A"/>
          <w:sz w:val="30"/>
          <w:szCs w:val="30"/>
        </w:rPr>
        <w:t xml:space="preserve">10 – Open Items Register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5A6470"/>
          <w:sz w:val="18"/>
          <w:szCs w:val="18"/>
        </w:rPr>
        <w:t xml:space="preserve">Baseline requirements package — document 10 of 10 — LIVE DOCUMENT</w:t>
      </w:r>
    </w:p>
    <w:tbl>
      <w:tblPr>
        <w:tblW w:type="dxa" w:w="9300"/>
        <w:tblBorders>
          <w:top w:val="single" w:color="2A7F8F" w:sz="14"/>
          <w:left w:val="single" w:color="B8C4CC" w:sz="4"/>
          <w:bottom w:val="single" w:color="B8C4CC" w:sz="4"/>
          <w:right w:val="single" w:color="B8C4CC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shd w:fill="EEF3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14304A"/>
                <w:sz w:val="18"/>
                <w:szCs w:val="18"/>
              </w:rPr>
              <w:t xml:space="preserve">This is the one document in the package expected to change after baseline. Everything else in Documents 1–9 is stable requirements content; this register tracks what remains before, or shortly after, sign-off. Review and update at each programme gate.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1. Items that could still change the requirements (none currently block starting design)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1600"/>
        <w:gridCol w:w="1500"/>
        <w:gridCol w:w="1100"/>
      </w:tblGrid>
      <w:tr>
        <w:trPr>
          <w:tblHeader/>
        </w:trPr>
        <w:tc>
          <w:tcPr>
            <w:tcW w:type="dxa" w:w="51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16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Owner</w:t>
            </w:r>
          </w:p>
        </w:tc>
        <w:tc>
          <w:tcPr>
            <w:tcW w:type="dxa" w:w="15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Blocks build?</w:t>
            </w:r>
          </w:p>
        </w:tc>
        <w:tc>
          <w:tcPr>
            <w:tcW w:type="dxa" w:w="11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5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Till authentication: confirm PIN (recommended) vs password</w:t>
            </w:r>
          </w:p>
        </w:tc>
        <w:tc>
          <w:tcPr>
            <w:tcW w:type="dxa" w:w="16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/ IT</w:t>
            </w:r>
          </w:p>
        </w:tc>
        <w:tc>
          <w:tcPr>
            <w:tcW w:type="dxa" w:w="1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Recommendation made, awaiting confirm</w:t>
            </w:r>
          </w:p>
        </w:tc>
      </w:tr>
      <w:tr>
        <w:tc>
          <w:tcPr>
            <w:tcW w:type="dxa" w:w="5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RTO 4–8h / RPO 15min target — accept as stated</w:t>
            </w:r>
          </w:p>
        </w:tc>
        <w:tc>
          <w:tcPr>
            <w:tcW w:type="dxa" w:w="16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</w:t>
            </w:r>
          </w:p>
        </w:tc>
        <w:tc>
          <w:tcPr>
            <w:tcW w:type="dxa" w:w="1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Recommendation made, awaiting confirm</w:t>
            </w:r>
          </w:p>
        </w:tc>
      </w:tr>
      <w:tr>
        <w:tc>
          <w:tcPr>
            <w:tcW w:type="dxa" w:w="5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10,000-shop / 3-year growth envelope — accept as planning basis</w:t>
            </w:r>
          </w:p>
        </w:tc>
        <w:tc>
          <w:tcPr>
            <w:tcW w:type="dxa" w:w="16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</w:t>
            </w:r>
          </w:p>
        </w:tc>
        <w:tc>
          <w:tcPr>
            <w:tcW w:type="dxa" w:w="1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Recommendation made, awaiting confirm</w:t>
            </w:r>
          </w:p>
        </w:tc>
      </w:tr>
      <w:tr>
        <w:tc>
          <w:tcPr>
            <w:tcW w:type="dxa" w:w="5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Minimum connectivity go-live gate values — accept as stated</w:t>
            </w:r>
          </w:p>
        </w:tc>
        <w:tc>
          <w:tcPr>
            <w:tcW w:type="dxa" w:w="16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/ Programme</w:t>
            </w:r>
          </w:p>
        </w:tc>
        <w:tc>
          <w:tcPr>
            <w:tcW w:type="dxa" w:w="1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Recommendation made, awaiting confirm</w:t>
            </w:r>
          </w:p>
        </w:tc>
      </w:tr>
      <w:tr>
        <w:tc>
          <w:tcPr>
            <w:tcW w:type="dxa" w:w="5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Helpdesk coverage hours: extended-hours + on-call vs full 24x7</w:t>
            </w:r>
          </w:p>
        </w:tc>
        <w:tc>
          <w:tcPr>
            <w:tcW w:type="dxa" w:w="16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(cost decision)</w:t>
            </w:r>
          </w:p>
        </w:tc>
        <w:tc>
          <w:tcPr>
            <w:tcW w:type="dxa" w:w="1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Open — cost trade-off for Federation</w:t>
            </w:r>
          </w:p>
        </w:tc>
      </w:tr>
      <w:tr>
        <w:tc>
          <w:tcPr>
            <w:tcW w:type="dxa" w:w="5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Report catalogue finalisation workshop</w:t>
            </w:r>
          </w:p>
        </w:tc>
        <w:tc>
          <w:tcPr>
            <w:tcW w:type="dxa" w:w="16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+ BA</w:t>
            </w:r>
          </w:p>
        </w:tc>
        <w:tc>
          <w:tcPr>
            <w:tcW w:type="dxa" w:w="1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 (P1 catalogue can proceed provisionally)</w:t>
            </w:r>
          </w:p>
        </w:tc>
        <w:tc>
          <w:tcPr>
            <w:tcW w:type="dxa" w:w="11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Not yet scheduled</w:t>
            </w:r>
          </w:p>
        </w:tc>
      </w:tr>
      <w:tr>
        <w:tc>
          <w:tcPr>
            <w:tcW w:type="dxa" w:w="5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Ratification of 13 standing defaults (see below)</w:t>
            </w:r>
          </w:p>
        </w:tc>
        <w:tc>
          <w:tcPr>
            <w:tcW w:type="dxa" w:w="16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admins</w:t>
            </w:r>
          </w:p>
        </w:tc>
        <w:tc>
          <w:tcPr>
            <w:tcW w:type="dxa" w:w="1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</w:t>
            </w:r>
          </w:p>
        </w:tc>
        <w:tc>
          <w:tcPr>
            <w:tcW w:type="dxa" w:w="11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Awaiting one stakeholder sitting</w:t>
            </w:r>
          </w:p>
        </w:tc>
      </w:tr>
    </w:tbl>
    <w:p>
      <w:r>
        <w:br w:type="page"/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2. The 13-item ratification batch</w:t>
      </w:r>
    </w:p>
    <w:p>
      <w:pPr>
        <w:spacing w:after="110" w:line="272"/>
        <w:jc w:val="both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Presented to stakeholders as defaults that stand unless objected to — not as open questions to be redesigned. Each already has design rationale recorded against it in Document 9.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1. </w:t>
      </w:r>
      <w:r>
        <w:rPr>
          <w:rFonts w:ascii="Arial" w:cs="Arial" w:eastAsia="Arial" w:hAnsi="Arial"/>
          <w:sz w:val="19"/>
          <w:szCs w:val="19"/>
        </w:rPr>
        <w:t xml:space="preserve">G-02 deviation = per-bill discount only, no standing shop price override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2. </w:t>
      </w:r>
      <w:r>
        <w:rPr>
          <w:rFonts w:ascii="Arial" w:cs="Arial" w:eastAsia="Arial" w:hAnsi="Arial"/>
          <w:sz w:val="19"/>
          <w:szCs w:val="19"/>
        </w:rPr>
        <w:t xml:space="preserve">Weighted-average costing as an entity-level policy, never per-transaction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3. </w:t>
      </w:r>
      <w:r>
        <w:rPr>
          <w:rFonts w:ascii="Arial" w:cs="Arial" w:eastAsia="Arial" w:hAnsi="Arial"/>
          <w:sz w:val="19"/>
          <w:szCs w:val="19"/>
        </w:rPr>
        <w:t xml:space="preserve">Repack reversal permitted only while output stock remains unsold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4. </w:t>
      </w:r>
      <w:r>
        <w:rPr>
          <w:rFonts w:ascii="Arial" w:cs="Arial" w:eastAsia="Arial" w:hAnsi="Arial"/>
          <w:sz w:val="19"/>
          <w:szCs w:val="19"/>
        </w:rPr>
        <w:t xml:space="preserve">Recipe-first repacking; ad-hoc conversion needs higher permission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5. </w:t>
      </w:r>
      <w:r>
        <w:rPr>
          <w:rFonts w:ascii="Arial" w:cs="Arial" w:eastAsia="Arial" w:hAnsi="Arial"/>
          <w:sz w:val="19"/>
          <w:szCs w:val="19"/>
        </w:rPr>
        <w:t xml:space="preserve">Recipes shareable via the same promote-to-shared flow as SKUs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6. </w:t>
      </w:r>
      <w:r>
        <w:rPr>
          <w:rFonts w:ascii="Arial" w:cs="Arial" w:eastAsia="Arial" w:hAnsi="Arial"/>
          <w:sz w:val="19"/>
          <w:szCs w:val="19"/>
        </w:rPr>
        <w:t xml:space="preserve">Cheque receipts release credit headroom provisionally; bounce = reversal + flag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7. </w:t>
      </w:r>
      <w:r>
        <w:rPr>
          <w:rFonts w:ascii="Arial" w:cs="Arial" w:eastAsia="Arial" w:hAnsi="Arial"/>
          <w:sz w:val="19"/>
          <w:szCs w:val="19"/>
        </w:rPr>
        <w:t xml:space="preserve">Phase-1 customer credit: no interest, no guarantors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8. </w:t>
      </w:r>
      <w:r>
        <w:rPr>
          <w:rFonts w:ascii="Arial" w:cs="Arial" w:eastAsia="Arial" w:hAnsi="Arial"/>
          <w:sz w:val="19"/>
          <w:szCs w:val="19"/>
        </w:rPr>
        <w:t xml:space="preserve">NIC optional, and only for customers granted credit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9. </w:t>
      </w:r>
      <w:r>
        <w:rPr>
          <w:rFonts w:ascii="Arial" w:cs="Arial" w:eastAsia="Arial" w:hAnsi="Arial"/>
          <w:sz w:val="19"/>
          <w:szCs w:val="19"/>
        </w:rPr>
        <w:t xml:space="preserve">Offline write-offs captured as drafts, approved online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10. </w:t>
      </w:r>
      <w:r>
        <w:rPr>
          <w:rFonts w:ascii="Arial" w:cs="Arial" w:eastAsia="Arial" w:hAnsi="Arial"/>
          <w:sz w:val="19"/>
          <w:szCs w:val="19"/>
        </w:rPr>
        <w:t xml:space="preserve">Idle-lock defaults: till 2–3 min / back office 10–15 min / admin 5 min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11. </w:t>
      </w:r>
      <w:r>
        <w:rPr>
          <w:rFonts w:ascii="Arial" w:cs="Arial" w:eastAsia="Arial" w:hAnsi="Arial"/>
          <w:sz w:val="19"/>
          <w:szCs w:val="19"/>
        </w:rPr>
        <w:t xml:space="preserve">Cash-tender rounding to nearest rupee; card/account tenders exact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12. </w:t>
      </w:r>
      <w:r>
        <w:rPr>
          <w:rFonts w:ascii="Arial" w:cs="Arial" w:eastAsia="Arial" w:hAnsi="Arial"/>
          <w:sz w:val="19"/>
          <w:szCs w:val="19"/>
        </w:rPr>
        <w:t xml:space="preserve">English short name mandatory on every SKU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13. </w:t>
      </w:r>
      <w:r>
        <w:rPr>
          <w:rFonts w:ascii="Arial" w:cs="Arial" w:eastAsia="Arial" w:hAnsi="Arial"/>
          <w:sz w:val="19"/>
          <w:szCs w:val="19"/>
        </w:rPr>
        <w:t xml:space="preserve">No discretionary POS discount of any kind — rule engine only (ADR-14)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3. Pending external input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200"/>
        <w:gridCol w:w="2200"/>
      </w:tblGrid>
      <w:tr>
        <w:trPr>
          <w:tblHeader/>
        </w:trPr>
        <w:tc>
          <w:tcPr>
            <w:tcW w:type="dxa" w:w="49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22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Owner</w:t>
            </w:r>
          </w:p>
        </w:tc>
        <w:tc>
          <w:tcPr>
            <w:tcW w:type="dxa" w:w="22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Tax advisor's five written answers (multi-series numbering, post-SVAT invoice content, FY reset, retention format, e-invoicing implications)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Tax advisor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RFC sent, awaiting reply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Co-operative Act legal opinion on joint data ownership (M-01)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legal counsel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Not yet commissioned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Data-governance / joint-controller agreement drafting (M-11, ADR-26)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legal counsel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Not yet commissioned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Government IT policy check — any binding state-cloud circular (Q-08)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legal counsel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Not yet commissioned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PDPA substantive-parts commencement watch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Programme / legal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Monitoring — not yet gazetted as of last check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IRD e-invoicing specification watch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Programme</w:t>
            </w:r>
          </w:p>
        </w:tc>
        <w:tc>
          <w:tcPr>
            <w:tcW w:type="dxa" w:w="22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Monitoring — not yet published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Numbering RFC stakeholder approval (ADR-11)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stakeholders</w:t>
            </w:r>
          </w:p>
        </w:tc>
        <w:tc>
          <w:tcPr>
            <w:tcW w:type="dxa" w:w="22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In discussion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4. Parked by deliberate decision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4400"/>
      </w:tblGrid>
      <w:tr>
        <w:trPr>
          <w:tblHeader/>
        </w:trPr>
        <w:tc>
          <w:tcPr>
            <w:tcW w:type="dxa" w:w="49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44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Parked to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Subsidy instruments / vouchers / coupons</w:t>
            </w:r>
          </w:p>
        </w:tc>
        <w:tc>
          <w:tcPr>
            <w:tcW w:type="dxa" w:w="44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Later tender phase, by federation decision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Federation→MPCS direct trading channel activation terms</w:t>
            </w:r>
          </w:p>
        </w:tc>
        <w:tc>
          <w:tcPr>
            <w:tcW w:type="dxa" w:w="44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Configuration action when Federation opens the channel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A-10 / A-12 full automation (credit blocking, interest calculation)</w:t>
            </w:r>
          </w:p>
        </w:tc>
        <w:tc>
          <w:tcPr>
            <w:tcW w:type="dxa" w:w="44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After accounting-system integration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Self-service report builder</w:t>
            </w:r>
          </w:p>
        </w:tc>
        <w:tc>
          <w:tcPr>
            <w:tcW w:type="dxa" w:w="44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Backlog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Mobile manager dashboards</w:t>
            </w:r>
          </w:p>
        </w:tc>
        <w:tc>
          <w:tcPr>
            <w:tcW w:type="dxa" w:w="44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Backlog (responsive web already covers browser access)</w:t>
            </w:r>
          </w:p>
        </w:tc>
      </w:tr>
      <w:tr>
        <w:tc>
          <w:tcPr>
            <w:tcW w:type="dxa" w:w="4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LAN peer stock-visibility gossip between tills</w:t>
            </w:r>
          </w:p>
        </w:tc>
        <w:tc>
          <w:tcPr>
            <w:tcW w:type="dxa" w:w="44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Phase 2; event schema already permits it</w:t>
            </w:r>
          </w:p>
        </w:tc>
      </w:tr>
      <w:tr>
        <w:tc>
          <w:tcPr>
            <w:tcW w:type="dxa" w:w="4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Federation as a repacking entity</w:t>
            </w:r>
          </w:p>
        </w:tc>
        <w:tc>
          <w:tcPr>
            <w:tcW w:type="dxa" w:w="44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Permission flip when Federation activates it (L-06)</w:t>
            </w:r>
          </w:p>
        </w:tc>
      </w:tr>
    </w:tbl>
    <w:p>
      <w:r>
        <w:br w:type="page"/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5. Programme actions (not requirements)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900"/>
        <w:gridCol w:w="3500"/>
      </w:tblGrid>
      <w:tr>
        <w:trPr>
          <w:tblHeader/>
        </w:trPr>
        <w:tc>
          <w:tcPr>
            <w:tcW w:type="dxa" w:w="39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Action</w:t>
            </w:r>
          </w:p>
        </w:tc>
        <w:tc>
          <w:tcPr>
            <w:tcW w:type="dxa" w:w="19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Owner</w:t>
            </w:r>
          </w:p>
        </w:tc>
        <w:tc>
          <w:tcPr>
            <w:tcW w:type="dxa" w:w="3500"/>
            <w:shd w:fill="14304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Note</w:t>
            </w:r>
          </w:p>
        </w:tc>
      </w:tr>
      <w:tr>
        <w:tc>
          <w:tcPr>
            <w:tcW w:type="dxa" w:w="3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Name the actual catalogue data steward and cleansing owner (T-03)</w:t>
            </w:r>
          </w:p>
        </w:tc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Federation</w:t>
            </w:r>
          </w:p>
        </w:tc>
        <w:tc>
          <w:tcPr>
            <w:tcW w:type="dxa" w:w="3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Remains the single largest schedule risk until named</w:t>
            </w:r>
          </w:p>
        </w:tc>
      </w:tr>
      <w:tr>
        <w:tc>
          <w:tcPr>
            <w:tcW w:type="dxa" w:w="3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Design and run the cutover balance-confirmation exercise (every opening balance signed by both parties)</w:t>
            </w:r>
          </w:p>
        </w:tc>
        <w:tc>
          <w:tcPr>
            <w:tcW w:type="dxa" w:w="1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Programme / Finance</w:t>
            </w:r>
          </w:p>
        </w:tc>
        <w:tc>
          <w:tcPr>
            <w:tcW w:type="dxa" w:w="3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Needed before any opening-balance migration</w:t>
            </w:r>
          </w:p>
        </w:tc>
      </w:tr>
      <w:tr>
        <w:tc>
          <w:tcPr>
            <w:tcW w:type="dxa" w:w="3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Obtain real SLCERT/TechCERT certification quotations</w:t>
            </w:r>
          </w:p>
        </w:tc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Programme / Procurement</w:t>
            </w:r>
          </w:p>
        </w:tc>
        <w:tc>
          <w:tcPr>
            <w:tcW w:type="dxa" w:w="3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Current cost model figures are placeholders</w:t>
            </w:r>
          </w:p>
        </w:tc>
      </w:tr>
      <w:tr>
        <w:tc>
          <w:tcPr>
            <w:tcW w:type="dxa" w:w="3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Sequence: penetration test before certification audit</w:t>
            </w:r>
          </w:p>
        </w:tc>
        <w:tc>
          <w:tcPr>
            <w:tcW w:type="dxa" w:w="1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Programme</w:t>
            </w:r>
          </w:p>
        </w:tc>
        <w:tc>
          <w:tcPr>
            <w:tcW w:type="dxa" w:w="3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Certifying body will expect pen-test evidence</w:t>
            </w:r>
          </w:p>
        </w:tc>
      </w:tr>
      <w:tr>
        <w:tc>
          <w:tcPr>
            <w:tcW w:type="dxa" w:w="3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Determine source of the 6,000 new shops (existing MPCS expansion vs new societies forming)</w:t>
            </w:r>
          </w:p>
        </w:tc>
        <w:tc>
          <w:tcPr>
            <w:tcW w:type="dxa" w:w="19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Federation</w:t>
            </w:r>
          </w:p>
        </w:tc>
        <w:tc>
          <w:tcPr>
            <w:tcW w:type="dxa" w:w="3500"/>
            <w:shd w:fill="FFFFFF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Affects onboarding playbook and back-office scaling</w:t>
            </w:r>
          </w:p>
        </w:tc>
      </w:tr>
      <w:tr>
        <w:tc>
          <w:tcPr>
            <w:tcW w:type="dxa" w:w="3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Schedule POS prototype-validation sessions with real cashiers</w:t>
            </w:r>
          </w:p>
        </w:tc>
        <w:tc>
          <w:tcPr>
            <w:tcW w:type="dxa" w:w="19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Programme / UX</w:t>
            </w:r>
          </w:p>
        </w:tc>
        <w:tc>
          <w:tcPr>
            <w:tcW w:type="dxa" w:w="3500"/>
            <w:shd w:fill="F5F8FA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4"/>
                <w:szCs w:val="14"/>
              </w:rPr>
              <w:t xml:space="preserve">Named activity, not yet scheduled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4304A"/>
          <w:sz w:val="25"/>
          <w:szCs w:val="25"/>
        </w:rPr>
        <w:t xml:space="preserve">6. Two RFCs currently with stakeholders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Document Numbering RFC — </w:t>
      </w:r>
      <w:r>
        <w:rPr>
          <w:rFonts w:ascii="Arial" w:cs="Arial" w:eastAsia="Arial" w:hAnsi="Arial"/>
          <w:sz w:val="19"/>
          <w:szCs w:val="19"/>
        </w:rPr>
        <w:t xml:space="preserve">the multi-series gapless numbering design (ADR-11). Structural — the fallback if rejected is the formally-worse pre-allocated-range approach, not a simple redesign.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Ratification Defaults RFC (proposed, not yet sent) — </w:t>
      </w:r>
      <w:r>
        <w:rPr>
          <w:rFonts w:ascii="Arial" w:cs="Arial" w:eastAsia="Arial" w:hAnsi="Arial"/>
          <w:sz w:val="19"/>
          <w:szCs w:val="19"/>
        </w:rPr>
        <w:t xml:space="preserve">the 13-item batch in Section 2 above, to be tabled as one sitting.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2026-08-13T21:17:13.840Z</dcterms:created>
  <dcterms:modified xsi:type="dcterms:W3CDTF">2026-08-13T21:17:13.840Z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