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2A7F8F"/>
          <w:sz w:val="18"/>
          <w:szCs w:val="18"/>
        </w:rPr>
        <w:t xml:space="preserve">Cooperative Retail and Distribution System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4304A"/>
          <w:sz w:val="30"/>
          <w:szCs w:val="30"/>
        </w:rPr>
        <w:t xml:space="preserve">12 – Domain Glossary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A6470"/>
          <w:sz w:val="18"/>
          <w:szCs w:val="18"/>
        </w:rPr>
        <w:t xml:space="preserve">Baseline requirements package — document 12 — LIVE DOCUMENT</w:t>
      </w:r>
    </w:p>
    <w:tbl>
      <w:tblPr>
        <w:tblW w:type="dxa" w:w="9300"/>
        <w:tblBorders>
          <w:top w:val="single" w:color="2A7F8F" w:sz="14"/>
          <w:left w:val="single" w:color="B8C4CC" w:sz="4"/>
          <w:bottom w:val="single" w:color="B8C4CC" w:sz="4"/>
          <w:right w:val="single" w:color="B8C4CC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EEF3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4304A"/>
                <w:sz w:val="18"/>
                <w:szCs w:val="18"/>
              </w:rPr>
              <w:t xml:space="preserve">The ubiquitous language. Use these exact terms in code, tests, commits, and UI copy — the definition here is the meaning IN THIS SYSTEM, which sometimes differs from general usage. Propose additions via the same review path as any document change.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Structure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COOPFED / Federation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apex legal entity. Sees all data view-only; stewards the shared SKU catalogue; holds no admin rights over other entities' users.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Distributor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large-scale MPCS trading between COOPFED and ordinary MPCS. Holds a deposit with COOPFED that sets its credit headroom.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MPCS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Multi-purpose cooperative society — a legal entity owning shops and optionally a central store. Sets one retail price list for all its shops.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Shop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trading location of an MPCS or distributor. NOT a legal entity. Cannot see sibling shops' data.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Entity vs location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system's core distinction: inter-entity movement = commercial sale with invoice; intra-entity movement = transfer at cost, no invoice.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Trading relationship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configured link between two entities carrying its own price list and credit settings. Tiers are data, not schema.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Back-office organisation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administrative presence of an entity — users, roles, inter-entity documents. 876 exist today.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Documents and lifecycle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Document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 immutable business record (order, GRN, invoice…). Final at issue; corrected only by a new linked document, never edited.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GRN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Goods received note. Confirmation transfers ownership and risk to the receiver — the pivot event of the trading model.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 drop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Delivery where bill-to is the MPCS but ship-to is one of its shops; shop staff sign the GRN on the MPCS's behalf.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Order lock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Point (configurable window before ETA) after which the buyer can no longer amend or cancel.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Backorder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unfulfilled remainder of a partially fulfilled order, left open unless cancelled.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Payment receipt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Seller-posted record that money was received against invoice(s). Releases headroom. The system never processes actual payment.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Cheque (provisional)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payment receipt that releases headroom provisionally; a bounce triggers a gated reversal and flags the relationship.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Claim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Damage/shortage/quality dispute against a delivery or batch, with photo evidence; approval yields a credit note.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Void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Cancellation of an issued document. It keeps its number — void is a status, never a deletion.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Reversal / compensating document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universal correction mechanism: a new document that restores prior state and references what it corrects.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Catalogue and inventory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SKU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Smallest distinctly tracked item. Global namespace; owned by one entity; status draft → local → shared; meaningless system code; English short name mandatory.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Alias mapping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Link preserving a local SKU's sales history when it is promoted to a shared SKU.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Batch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stock lot of one SKU at one holder. Carries cost, MRP, expiry. Cost and MRP live here — never on the SKU.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MRP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Government maximum retail price — a batch attribute. Selling price is validated against the MRP of the batch being depleted.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FEFO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First-expired-first-out — default depletion assumption for expiry-relevant SKUs, manually overridable.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Weighted average cost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The costing method, set as an entity-level policy. No per-transaction choice.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UOM conversion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Factor between units of the SAME product (case ↔ single). One SKU, no transformation.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Repack recipe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Directional many-to-many BOM turning input SKU(s) into a different output SKU with expected yield. Recipe-first; ad-hoc conversion is permission-gated and exception-flagged.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Weigh sticker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In-store printed barcode (GS1 prefix 20–29) encoding weight/price for loose goods; manual weight entry is the no-printer fallback.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Oversell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Negative-stock sale, permitted with cashier acknowledgement (or offline race), reconciled and flagged — never blocked.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POS, offline and numbering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position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logical checkout lane at a shop (S03-T1). Owns its numbering series. Survives device replacement — series follows the position, not the hardware.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Gapless series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Strictly sequential document numbers per till position (or per entity + doc type for back office). Assigned at issue from a local counter; never reused.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Posting reference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Central's internal ID added to a synced document — metadata only, never printed, never replaces the till number.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Gap check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Sync-completeness test: a missing number in a till series signals a sale event that has not arrived.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One-writer rule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Each record type has exactly one authoritative writer (till: its sale events; central: catalogue/prices). Eliminates merge logic entirely.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Local cache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Till-resident copy of catalogue, prices, rules, tax categories, batch/MRP data, tagged customers, permissions — everything needed to sell offline.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Park / resume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Suspending an in-progress sale and recalling it — works offline.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Blind close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Till closing where the cashier declares counted cash before seeing the system figure.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Z-report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End-of-day till summary, printed on the local thermal printer, offline-capable.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Customers and credit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Registered customer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 person/business with a system identity — NOT a cooperative member. Membership, shares, patronage are out of scope.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Customer account (khata)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Per-MPCS credit account under one global identity: limit, balance, repayments, ageing. No interest or guarantors in phase 1.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Phone as lookup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Phone numbers find a customer but never key one — numbers churn and are reassigned. Internal ID is the key; suspected reuse prompts staff confirmation, never auto-merge.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Committed exposure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Open invoices + accepted-but-undelivered orders — the figure checked against a credit limit.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Warn-not-block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Credit breaches show a banner; trade is never stopped on derived exposure.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Discount rule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Target + trigger + benefit + validity + constraints. The ONLY way any price reduction happens at a till.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Free item line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Rule benefit posted as a zero-priced line that deducts stock and carries the rule ID.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Markdown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Rule-driven price reduction for expiry/damage bands — same engine as discounts.</w:t>
            </w:r>
          </w:p>
        </w:tc>
      </w:tr>
    </w:tbl>
    <w:p>
      <w:pPr>
        <w:spacing w:after="1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A7F8F"/>
          <w:sz w:val="21"/>
          <w:szCs w:val="21"/>
        </w:rPr>
        <w:t xml:space="preserve">Control and governance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W w:type="dxa" w:w="6800"/>
            <w:shd w:fill="1430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 in this system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Dual control / SoD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Segregation of duties: requester ≠ approver, enforced hardest on write-offs.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Write-off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Permission-gated disposal of loss with witness and, where practical, photo. Offline capture = draft; approval is online.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Audit trail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Append-only record of every privileged action, per the catalogue in doc 07. Hash-chaining arrives in phase 2.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Visibility matrix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Who sees what across the hierarchy (doc 07 §2). Political boundaries — treat as hard requirements.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Ring deployment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 update rollout: pilot → wave cohorts → fleet, with automatic rollback on health-check failure.</w:t>
            </w:r>
          </w:p>
        </w:tc>
      </w:tr>
      <w:tr>
        <w:tc>
          <w:tcPr>
            <w:tcW w:type="dxa" w:w="25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Version floor</w:t>
            </w:r>
          </w:p>
        </w:tc>
        <w:tc>
          <w:tcPr>
            <w:tcW w:type="dxa" w:w="6800"/>
            <w:shd w:fill="F5F8F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Minimum client version the server accepts, enforced after a grace period.</w:t>
            </w:r>
          </w:p>
        </w:tc>
      </w:tr>
      <w:tr>
        <w:tc>
          <w:tcPr>
            <w:tcW w:type="dxa" w:w="25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Phase / wave / pilot gate</w:t>
            </w:r>
          </w:p>
        </w:tc>
        <w:tc>
          <w:tcPr>
            <w:tcW w:type="dxa" w:w="6800"/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Phase = functional scope (1: spine, 2: control &amp; reporting, 3: extensions). Wave = geographic rollout group. Pilot gate = go/no-go at ~40% spend.</w:t>
            </w:r>
          </w:p>
        </w:tc>
      </w:tr>
    </w:tbl>
    <w:p>
      <w:pPr>
        <w:spacing w:after="14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2026-08-14T03:18:24.650Z</dcterms:created>
  <dcterms:modified xsi:type="dcterms:W3CDTF">2026-08-14T03:18:24.651Z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