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8E5" w:rsidRDefault="00317216">
      <w:r>
        <w:t>Vorlage</w:t>
      </w:r>
      <w:r w:rsidR="00431829">
        <w:t>: Tabelle für eine</w:t>
      </w:r>
      <w:r>
        <w:t xml:space="preserve"> PESTEL</w:t>
      </w:r>
      <w:r w:rsidR="00431829">
        <w:t>-Analyse</w:t>
      </w:r>
    </w:p>
    <w:tbl>
      <w:tblPr>
        <w:tblStyle w:val="Tabellengitternetz"/>
        <w:tblW w:w="10173" w:type="dxa"/>
        <w:tblLook w:val="04A0"/>
      </w:tblPr>
      <w:tblGrid>
        <w:gridCol w:w="1490"/>
        <w:gridCol w:w="4146"/>
        <w:gridCol w:w="2370"/>
        <w:gridCol w:w="2167"/>
      </w:tblGrid>
      <w:tr w:rsidR="000353E0" w:rsidTr="00722EF4">
        <w:tc>
          <w:tcPr>
            <w:tcW w:w="1490" w:type="dxa"/>
          </w:tcPr>
          <w:p w:rsidR="000353E0" w:rsidRPr="001C2260" w:rsidRDefault="000353E0">
            <w:pPr>
              <w:rPr>
                <w:b/>
              </w:rPr>
            </w:pPr>
            <w:r w:rsidRPr="001C2260">
              <w:rPr>
                <w:b/>
              </w:rPr>
              <w:t>Einflussfaktor</w:t>
            </w:r>
          </w:p>
        </w:tc>
        <w:tc>
          <w:tcPr>
            <w:tcW w:w="4146" w:type="dxa"/>
          </w:tcPr>
          <w:p w:rsidR="000353E0" w:rsidRDefault="000353E0">
            <w:r>
              <w:t>konkreter Faktor</w:t>
            </w:r>
          </w:p>
        </w:tc>
        <w:tc>
          <w:tcPr>
            <w:tcW w:w="2370" w:type="dxa"/>
          </w:tcPr>
          <w:p w:rsidR="000353E0" w:rsidRDefault="008F61E6">
            <w:r>
              <w:t xml:space="preserve">positive </w:t>
            </w:r>
            <w:r w:rsidR="000353E0">
              <w:t>Wirkung</w:t>
            </w:r>
          </w:p>
        </w:tc>
        <w:tc>
          <w:tcPr>
            <w:tcW w:w="2167" w:type="dxa"/>
          </w:tcPr>
          <w:p w:rsidR="000353E0" w:rsidRDefault="000353E0" w:rsidP="00E3403F">
            <w:r>
              <w:t>negative Wirkung</w:t>
            </w:r>
          </w:p>
        </w:tc>
      </w:tr>
      <w:tr w:rsidR="00722EF4" w:rsidTr="00722EF4">
        <w:tc>
          <w:tcPr>
            <w:tcW w:w="1490" w:type="dxa"/>
            <w:vMerge w:val="restart"/>
          </w:tcPr>
          <w:p w:rsidR="00722EF4" w:rsidRPr="001C2260" w:rsidRDefault="00722EF4">
            <w:pPr>
              <w:rPr>
                <w:b/>
              </w:rPr>
            </w:pPr>
            <w:r w:rsidRPr="001C2260">
              <w:rPr>
                <w:b/>
              </w:rPr>
              <w:t>politisch</w:t>
            </w:r>
          </w:p>
        </w:tc>
        <w:tc>
          <w:tcPr>
            <w:tcW w:w="4146" w:type="dxa"/>
          </w:tcPr>
          <w:p w:rsidR="00722EF4" w:rsidRDefault="00722EF4" w:rsidP="008F61E6">
            <w:r w:rsidRPr="00BC49A3">
              <w:rPr>
                <w:rStyle w:val="Fett"/>
                <w:b w:val="0"/>
                <w:shd w:val="clear" w:color="auto" w:fill="FFFFFF"/>
              </w:rPr>
              <w:t>G</w:t>
            </w:r>
            <w:r w:rsidRPr="00BC49A3">
              <w:rPr>
                <w:rFonts w:eastAsia="Times New Roman" w:cs="Times New Roman"/>
                <w:color w:val="000000"/>
                <w:lang w:eastAsia="de-DE"/>
              </w:rPr>
              <w:t>esetzgebung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1C2260" w:rsidRDefault="00722EF4">
            <w:pPr>
              <w:rPr>
                <w:b/>
              </w:rPr>
            </w:pPr>
          </w:p>
        </w:tc>
        <w:tc>
          <w:tcPr>
            <w:tcW w:w="4146" w:type="dxa"/>
          </w:tcPr>
          <w:p w:rsidR="00722EF4" w:rsidRPr="00BC49A3" w:rsidRDefault="00722EF4">
            <w:pPr>
              <w:rPr>
                <w:rStyle w:val="Fett"/>
                <w:b w:val="0"/>
                <w:shd w:val="clear" w:color="auto" w:fill="FFFFFF"/>
              </w:rPr>
            </w:pPr>
            <w:r w:rsidRPr="00BC49A3">
              <w:rPr>
                <w:rFonts w:eastAsia="Times New Roman" w:cs="Times New Roman"/>
                <w:color w:val="000000"/>
                <w:lang w:eastAsia="de-DE"/>
              </w:rPr>
              <w:t>politische Stabilität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1C2260" w:rsidRDefault="00722EF4">
            <w:pPr>
              <w:rPr>
                <w:b/>
              </w:rPr>
            </w:pPr>
          </w:p>
        </w:tc>
        <w:tc>
          <w:tcPr>
            <w:tcW w:w="4146" w:type="dxa"/>
          </w:tcPr>
          <w:p w:rsidR="00722EF4" w:rsidRPr="00BC49A3" w:rsidRDefault="00722EF4">
            <w:pPr>
              <w:rPr>
                <w:rStyle w:val="Fett"/>
                <w:b w:val="0"/>
                <w:shd w:val="clear" w:color="auto" w:fill="FFFFFF"/>
              </w:rPr>
            </w:pPr>
            <w:r>
              <w:rPr>
                <w:rStyle w:val="Fett"/>
                <w:b w:val="0"/>
                <w:shd w:val="clear" w:color="auto" w:fill="FFFFFF"/>
              </w:rPr>
              <w:t>Wirtschaftspolitik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1C2260" w:rsidRDefault="00722EF4">
            <w:pPr>
              <w:rPr>
                <w:b/>
              </w:rPr>
            </w:pPr>
          </w:p>
        </w:tc>
        <w:tc>
          <w:tcPr>
            <w:tcW w:w="4146" w:type="dxa"/>
          </w:tcPr>
          <w:p w:rsidR="00722EF4" w:rsidRDefault="00722EF4">
            <w:pPr>
              <w:rPr>
                <w:rStyle w:val="Fett"/>
                <w:b w:val="0"/>
                <w:shd w:val="clear" w:color="auto" w:fill="FFFFFF"/>
              </w:rPr>
            </w:pPr>
            <w:r w:rsidRPr="00BC49A3">
              <w:rPr>
                <w:rFonts w:eastAsia="Times New Roman" w:cs="Times New Roman"/>
                <w:color w:val="000000"/>
                <w:lang w:eastAsia="de-DE"/>
              </w:rPr>
              <w:t>Bürokratie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1C2260" w:rsidRDefault="00722EF4">
            <w:pPr>
              <w:rPr>
                <w:b/>
              </w:rPr>
            </w:pPr>
          </w:p>
        </w:tc>
        <w:tc>
          <w:tcPr>
            <w:tcW w:w="4146" w:type="dxa"/>
          </w:tcPr>
          <w:p w:rsidR="00722EF4" w:rsidRPr="00BC49A3" w:rsidRDefault="00722EF4">
            <w:pPr>
              <w:rPr>
                <w:rFonts w:eastAsia="Times New Roman" w:cs="Times New Roman"/>
                <w:color w:val="000000"/>
                <w:lang w:eastAsia="de-DE"/>
              </w:rPr>
            </w:pPr>
            <w:r>
              <w:rPr>
                <w:rFonts w:eastAsia="Times New Roman" w:cs="Times New Roman"/>
                <w:color w:val="000000"/>
                <w:lang w:eastAsia="de-DE"/>
              </w:rPr>
              <w:t>Zölle und Abgaben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 w:val="restart"/>
          </w:tcPr>
          <w:p w:rsidR="00722EF4" w:rsidRPr="001C2260" w:rsidRDefault="00722EF4">
            <w:pPr>
              <w:rPr>
                <w:b/>
              </w:rPr>
            </w:pPr>
            <w:r w:rsidRPr="001C2260">
              <w:rPr>
                <w:b/>
              </w:rPr>
              <w:t xml:space="preserve">ökonomisch </w:t>
            </w:r>
          </w:p>
        </w:tc>
        <w:tc>
          <w:tcPr>
            <w:tcW w:w="4146" w:type="dxa"/>
          </w:tcPr>
          <w:p w:rsidR="00722EF4" w:rsidRDefault="00722EF4" w:rsidP="007D7C84">
            <w:r>
              <w:rPr>
                <w:rStyle w:val="Fett"/>
                <w:b w:val="0"/>
                <w:shd w:val="clear" w:color="auto" w:fill="FFFFFF"/>
              </w:rPr>
              <w:t>v</w:t>
            </w:r>
            <w:r>
              <w:t>olkswirtschaftliche Gesamtleistung (Bruttoinlandsprodukt/Bruttosozialprodukt)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1C2260" w:rsidRDefault="00722EF4">
            <w:pPr>
              <w:rPr>
                <w:b/>
              </w:rPr>
            </w:pPr>
          </w:p>
        </w:tc>
        <w:tc>
          <w:tcPr>
            <w:tcW w:w="4146" w:type="dxa"/>
          </w:tcPr>
          <w:p w:rsidR="00722EF4" w:rsidRDefault="00722EF4" w:rsidP="007D7C84">
            <w:pPr>
              <w:rPr>
                <w:rStyle w:val="Fett"/>
                <w:b w:val="0"/>
                <w:shd w:val="clear" w:color="auto" w:fill="FFFFFF"/>
              </w:rPr>
            </w:pPr>
            <w:r>
              <w:t xml:space="preserve">Höhe des verfügbaren Einkommens und Kaufkraft der Konsumenten </w:t>
            </w:r>
          </w:p>
        </w:tc>
        <w:tc>
          <w:tcPr>
            <w:tcW w:w="2370" w:type="dxa"/>
          </w:tcPr>
          <w:p w:rsidR="00722EF4" w:rsidRDefault="00722EF4" w:rsidP="007A05B3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1C2260" w:rsidRDefault="00722EF4">
            <w:pPr>
              <w:rPr>
                <w:b/>
              </w:rPr>
            </w:pPr>
          </w:p>
        </w:tc>
        <w:tc>
          <w:tcPr>
            <w:tcW w:w="4146" w:type="dxa"/>
          </w:tcPr>
          <w:p w:rsidR="00722EF4" w:rsidRDefault="00722EF4" w:rsidP="00AD3C1A">
            <w:pPr>
              <w:rPr>
                <w:rStyle w:val="Fett"/>
                <w:b w:val="0"/>
                <w:shd w:val="clear" w:color="auto" w:fill="FFFFFF"/>
              </w:rPr>
            </w:pPr>
            <w:r>
              <w:t>Anzahl, Größe und Struktur der Haushalte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1C2260" w:rsidRDefault="00722EF4">
            <w:pPr>
              <w:rPr>
                <w:b/>
              </w:rPr>
            </w:pPr>
          </w:p>
        </w:tc>
        <w:tc>
          <w:tcPr>
            <w:tcW w:w="4146" w:type="dxa"/>
          </w:tcPr>
          <w:p w:rsidR="00722EF4" w:rsidRDefault="00722EF4" w:rsidP="00431F6F">
            <w:pPr>
              <w:rPr>
                <w:rStyle w:val="Fett"/>
                <w:b w:val="0"/>
                <w:shd w:val="clear" w:color="auto" w:fill="FFFFFF"/>
              </w:rPr>
            </w:pPr>
            <w:r>
              <w:t>Wachstumsraten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1C2260" w:rsidRDefault="00722EF4">
            <w:pPr>
              <w:rPr>
                <w:b/>
              </w:rPr>
            </w:pPr>
          </w:p>
        </w:tc>
        <w:tc>
          <w:tcPr>
            <w:tcW w:w="4146" w:type="dxa"/>
          </w:tcPr>
          <w:p w:rsidR="00722EF4" w:rsidRDefault="00722EF4" w:rsidP="00431F6F">
            <w:pPr>
              <w:rPr>
                <w:rStyle w:val="Fett"/>
                <w:b w:val="0"/>
                <w:shd w:val="clear" w:color="auto" w:fill="FFFFFF"/>
              </w:rPr>
            </w:pPr>
            <w:r>
              <w:t>Zinsniveau und Zinsentwicklung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04730C"/>
        </w:tc>
      </w:tr>
      <w:tr w:rsidR="00722EF4" w:rsidTr="00722EF4">
        <w:tc>
          <w:tcPr>
            <w:tcW w:w="1490" w:type="dxa"/>
            <w:vMerge/>
          </w:tcPr>
          <w:p w:rsidR="00722EF4" w:rsidRPr="001C2260" w:rsidRDefault="00722EF4">
            <w:pPr>
              <w:rPr>
                <w:b/>
              </w:rPr>
            </w:pPr>
          </w:p>
        </w:tc>
        <w:tc>
          <w:tcPr>
            <w:tcW w:w="4146" w:type="dxa"/>
          </w:tcPr>
          <w:p w:rsidR="00722EF4" w:rsidRDefault="00722EF4" w:rsidP="00431F6F">
            <w:pPr>
              <w:rPr>
                <w:rStyle w:val="Fett"/>
                <w:b w:val="0"/>
                <w:shd w:val="clear" w:color="auto" w:fill="FFFFFF"/>
              </w:rPr>
            </w:pPr>
            <w:r>
              <w:t>Beschäftigungsrate, Arbeitslosigkeit, Zahl der offenen Stellen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1C2260" w:rsidRDefault="00722EF4">
            <w:pPr>
              <w:rPr>
                <w:b/>
              </w:rPr>
            </w:pPr>
          </w:p>
        </w:tc>
        <w:tc>
          <w:tcPr>
            <w:tcW w:w="4146" w:type="dxa"/>
          </w:tcPr>
          <w:p w:rsidR="00722EF4" w:rsidRDefault="00722EF4" w:rsidP="00431F6F">
            <w:pPr>
              <w:rPr>
                <w:rStyle w:val="Fett"/>
                <w:b w:val="0"/>
                <w:shd w:val="clear" w:color="auto" w:fill="FFFFFF"/>
              </w:rPr>
            </w:pPr>
            <w:r>
              <w:rPr>
                <w:rStyle w:val="Fett"/>
                <w:b w:val="0"/>
                <w:shd w:val="clear" w:color="auto" w:fill="FFFFFF"/>
              </w:rPr>
              <w:t>Preise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 w:val="restart"/>
          </w:tcPr>
          <w:p w:rsidR="00722EF4" w:rsidRPr="0084461B" w:rsidRDefault="00722EF4" w:rsidP="0084461B">
            <w:pPr>
              <w:rPr>
                <w:shd w:val="clear" w:color="auto" w:fill="FFFFFF"/>
              </w:rPr>
            </w:pPr>
            <w:r w:rsidRPr="00BC49A3">
              <w:rPr>
                <w:rStyle w:val="Fett"/>
                <w:shd w:val="clear" w:color="auto" w:fill="FFFFFF"/>
              </w:rPr>
              <w:t>sozio-kulturell</w:t>
            </w:r>
            <w:r w:rsidRPr="00BC49A3">
              <w:rPr>
                <w:shd w:val="clear" w:color="auto" w:fill="FFFFFF"/>
              </w:rPr>
              <w:t xml:space="preserve"> </w:t>
            </w:r>
          </w:p>
        </w:tc>
        <w:tc>
          <w:tcPr>
            <w:tcW w:w="4146" w:type="dxa"/>
          </w:tcPr>
          <w:p w:rsidR="00722EF4" w:rsidRDefault="00722EF4">
            <w:r>
              <w:t>Normen, Werte, Einstellungen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BC49A3" w:rsidRDefault="00722EF4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722EF4" w:rsidRDefault="00722EF4" w:rsidP="00722EF4">
            <w:r>
              <w:t>Altersstruktur, Bevölkerungswachstum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BC49A3" w:rsidRDefault="00722EF4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722EF4" w:rsidRDefault="00722EF4">
            <w:r>
              <w:t>Konsum- und Freizeitgewohnheiten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BC49A3" w:rsidRDefault="00722EF4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722EF4" w:rsidRDefault="00722EF4" w:rsidP="00722EF4">
            <w:r>
              <w:t>Lebensstil und Mobilität der Einwohner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BC49A3" w:rsidRDefault="00722EF4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722EF4" w:rsidRDefault="00722EF4" w:rsidP="00722EF4">
            <w:r>
              <w:t xml:space="preserve">Kaufverhalten 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722EF4" w:rsidTr="00722EF4">
        <w:tc>
          <w:tcPr>
            <w:tcW w:w="1490" w:type="dxa"/>
            <w:vMerge/>
          </w:tcPr>
          <w:p w:rsidR="00722EF4" w:rsidRPr="00BC49A3" w:rsidRDefault="00722EF4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722EF4" w:rsidRDefault="00722EF4">
            <w:r>
              <w:t>Größe der Haushalte</w:t>
            </w:r>
          </w:p>
        </w:tc>
        <w:tc>
          <w:tcPr>
            <w:tcW w:w="2370" w:type="dxa"/>
          </w:tcPr>
          <w:p w:rsidR="00722EF4" w:rsidRDefault="00722EF4"/>
        </w:tc>
        <w:tc>
          <w:tcPr>
            <w:tcW w:w="2167" w:type="dxa"/>
          </w:tcPr>
          <w:p w:rsidR="00722EF4" w:rsidRDefault="00722EF4" w:rsidP="00E3403F"/>
        </w:tc>
      </w:tr>
      <w:tr w:rsidR="002A0C2B" w:rsidTr="00722EF4">
        <w:tc>
          <w:tcPr>
            <w:tcW w:w="1490" w:type="dxa"/>
            <w:vMerge w:val="restart"/>
          </w:tcPr>
          <w:p w:rsidR="002A0C2B" w:rsidRPr="0084461B" w:rsidRDefault="002A0C2B" w:rsidP="0084461B">
            <w:pPr>
              <w:rPr>
                <w:shd w:val="clear" w:color="auto" w:fill="FFFFFF"/>
              </w:rPr>
            </w:pPr>
            <w:r w:rsidRPr="00BC49A3">
              <w:rPr>
                <w:rStyle w:val="Fett"/>
                <w:shd w:val="clear" w:color="auto" w:fill="FFFFFF"/>
              </w:rPr>
              <w:t xml:space="preserve">technologisch </w:t>
            </w:r>
          </w:p>
        </w:tc>
        <w:tc>
          <w:tcPr>
            <w:tcW w:w="4146" w:type="dxa"/>
          </w:tcPr>
          <w:p w:rsidR="002A0C2B" w:rsidRDefault="002A0C2B" w:rsidP="002A0C2B">
            <w:r>
              <w:t>Infrastruktur</w:t>
            </w:r>
          </w:p>
        </w:tc>
        <w:tc>
          <w:tcPr>
            <w:tcW w:w="2370" w:type="dxa"/>
          </w:tcPr>
          <w:p w:rsidR="002A0C2B" w:rsidRDefault="002A0C2B"/>
        </w:tc>
        <w:tc>
          <w:tcPr>
            <w:tcW w:w="2167" w:type="dxa"/>
          </w:tcPr>
          <w:p w:rsidR="002A0C2B" w:rsidRDefault="002A0C2B" w:rsidP="00E3403F"/>
        </w:tc>
      </w:tr>
      <w:tr w:rsidR="002A0C2B" w:rsidTr="00722EF4">
        <w:tc>
          <w:tcPr>
            <w:tcW w:w="1490" w:type="dxa"/>
            <w:vMerge/>
          </w:tcPr>
          <w:p w:rsidR="002A0C2B" w:rsidRPr="00BC49A3" w:rsidRDefault="002A0C2B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2A0C2B" w:rsidRDefault="002A0C2B" w:rsidP="002A0C2B">
            <w:r>
              <w:t>Transportwege und Logistik</w:t>
            </w:r>
          </w:p>
        </w:tc>
        <w:tc>
          <w:tcPr>
            <w:tcW w:w="2370" w:type="dxa"/>
          </w:tcPr>
          <w:p w:rsidR="002A0C2B" w:rsidRDefault="002A0C2B"/>
        </w:tc>
        <w:tc>
          <w:tcPr>
            <w:tcW w:w="2167" w:type="dxa"/>
          </w:tcPr>
          <w:p w:rsidR="002A0C2B" w:rsidRDefault="002A0C2B" w:rsidP="00E3403F"/>
        </w:tc>
      </w:tr>
      <w:tr w:rsidR="002A0C2B" w:rsidTr="00722EF4">
        <w:tc>
          <w:tcPr>
            <w:tcW w:w="1490" w:type="dxa"/>
            <w:vMerge/>
          </w:tcPr>
          <w:p w:rsidR="002A0C2B" w:rsidRPr="00BC49A3" w:rsidRDefault="002A0C2B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2A0C2B" w:rsidRDefault="002A0C2B" w:rsidP="002A0C2B">
            <w:r>
              <w:t>Grad an Automation</w:t>
            </w:r>
          </w:p>
        </w:tc>
        <w:tc>
          <w:tcPr>
            <w:tcW w:w="2370" w:type="dxa"/>
          </w:tcPr>
          <w:p w:rsidR="002A0C2B" w:rsidRDefault="002A0C2B"/>
        </w:tc>
        <w:tc>
          <w:tcPr>
            <w:tcW w:w="2167" w:type="dxa"/>
          </w:tcPr>
          <w:p w:rsidR="002A0C2B" w:rsidRDefault="002A0C2B" w:rsidP="00E3403F"/>
        </w:tc>
      </w:tr>
      <w:tr w:rsidR="002A0C2B" w:rsidTr="00722EF4">
        <w:tc>
          <w:tcPr>
            <w:tcW w:w="1490" w:type="dxa"/>
            <w:vMerge/>
          </w:tcPr>
          <w:p w:rsidR="002A0C2B" w:rsidRPr="00BC49A3" w:rsidRDefault="002A0C2B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2A0C2B" w:rsidRDefault="002A0C2B" w:rsidP="002A0C2B">
            <w:r>
              <w:t xml:space="preserve">Verfügbarkeit von Substitutionstechnologien </w:t>
            </w:r>
          </w:p>
        </w:tc>
        <w:tc>
          <w:tcPr>
            <w:tcW w:w="2370" w:type="dxa"/>
          </w:tcPr>
          <w:p w:rsidR="002A0C2B" w:rsidRDefault="002A0C2B"/>
        </w:tc>
        <w:tc>
          <w:tcPr>
            <w:tcW w:w="2167" w:type="dxa"/>
          </w:tcPr>
          <w:p w:rsidR="002A0C2B" w:rsidRDefault="002A0C2B" w:rsidP="00E3403F"/>
        </w:tc>
      </w:tr>
      <w:tr w:rsidR="002A0C2B" w:rsidTr="00722EF4">
        <w:tc>
          <w:tcPr>
            <w:tcW w:w="1490" w:type="dxa"/>
            <w:vMerge/>
          </w:tcPr>
          <w:p w:rsidR="002A0C2B" w:rsidRPr="00BC49A3" w:rsidRDefault="002A0C2B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2A0C2B" w:rsidRDefault="002A0C2B" w:rsidP="002A0C2B">
            <w:r>
              <w:t xml:space="preserve">Verfügbarkeit von ökologischen Ressourcen und Energiequellen </w:t>
            </w:r>
          </w:p>
        </w:tc>
        <w:tc>
          <w:tcPr>
            <w:tcW w:w="2370" w:type="dxa"/>
          </w:tcPr>
          <w:p w:rsidR="002A0C2B" w:rsidRDefault="002A0C2B"/>
        </w:tc>
        <w:tc>
          <w:tcPr>
            <w:tcW w:w="2167" w:type="dxa"/>
          </w:tcPr>
          <w:p w:rsidR="002A0C2B" w:rsidRDefault="002A0C2B" w:rsidP="00E3403F"/>
        </w:tc>
      </w:tr>
      <w:tr w:rsidR="00781723" w:rsidTr="00722EF4">
        <w:tc>
          <w:tcPr>
            <w:tcW w:w="1490" w:type="dxa"/>
            <w:vMerge w:val="restart"/>
          </w:tcPr>
          <w:p w:rsidR="00781723" w:rsidRPr="0084461B" w:rsidRDefault="00781723" w:rsidP="0084461B">
            <w:pPr>
              <w:rPr>
                <w:shd w:val="clear" w:color="auto" w:fill="FFFFFF"/>
              </w:rPr>
            </w:pPr>
            <w:r>
              <w:rPr>
                <w:rStyle w:val="Fett"/>
                <w:shd w:val="clear" w:color="auto" w:fill="FFFFFF"/>
              </w:rPr>
              <w:t>ö</w:t>
            </w:r>
            <w:r w:rsidRPr="00BC49A3">
              <w:rPr>
                <w:rStyle w:val="Fett"/>
                <w:shd w:val="clear" w:color="auto" w:fill="FFFFFF"/>
              </w:rPr>
              <w:t>kologisch</w:t>
            </w:r>
          </w:p>
        </w:tc>
        <w:tc>
          <w:tcPr>
            <w:tcW w:w="4146" w:type="dxa"/>
          </w:tcPr>
          <w:p w:rsidR="00781723" w:rsidRDefault="00781723" w:rsidP="00781723">
            <w:r>
              <w:t xml:space="preserve">natürliche Ressourcen </w:t>
            </w:r>
          </w:p>
        </w:tc>
        <w:tc>
          <w:tcPr>
            <w:tcW w:w="2370" w:type="dxa"/>
          </w:tcPr>
          <w:p w:rsidR="00781723" w:rsidRDefault="00781723"/>
        </w:tc>
        <w:tc>
          <w:tcPr>
            <w:tcW w:w="2167" w:type="dxa"/>
          </w:tcPr>
          <w:p w:rsidR="00781723" w:rsidRDefault="00781723" w:rsidP="00E3403F"/>
        </w:tc>
      </w:tr>
      <w:tr w:rsidR="00781723" w:rsidTr="00722EF4">
        <w:tc>
          <w:tcPr>
            <w:tcW w:w="1490" w:type="dxa"/>
            <w:vMerge/>
          </w:tcPr>
          <w:p w:rsidR="00781723" w:rsidRDefault="00781723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781723" w:rsidRDefault="00781723" w:rsidP="00781723">
            <w:r>
              <w:t>Ressourcenverbrauch</w:t>
            </w:r>
          </w:p>
        </w:tc>
        <w:tc>
          <w:tcPr>
            <w:tcW w:w="2370" w:type="dxa"/>
          </w:tcPr>
          <w:p w:rsidR="00781723" w:rsidRDefault="00781723"/>
        </w:tc>
        <w:tc>
          <w:tcPr>
            <w:tcW w:w="2167" w:type="dxa"/>
          </w:tcPr>
          <w:p w:rsidR="00781723" w:rsidRDefault="00781723" w:rsidP="00E3403F"/>
        </w:tc>
      </w:tr>
      <w:tr w:rsidR="00781723" w:rsidTr="00722EF4">
        <w:tc>
          <w:tcPr>
            <w:tcW w:w="1490" w:type="dxa"/>
            <w:vMerge/>
          </w:tcPr>
          <w:p w:rsidR="00781723" w:rsidRDefault="00781723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781723" w:rsidRDefault="00781723" w:rsidP="00781723">
            <w:r>
              <w:t xml:space="preserve">Umweltauflagen und Standards </w:t>
            </w:r>
          </w:p>
        </w:tc>
        <w:tc>
          <w:tcPr>
            <w:tcW w:w="2370" w:type="dxa"/>
          </w:tcPr>
          <w:p w:rsidR="00781723" w:rsidRDefault="00781723"/>
        </w:tc>
        <w:tc>
          <w:tcPr>
            <w:tcW w:w="2167" w:type="dxa"/>
          </w:tcPr>
          <w:p w:rsidR="00781723" w:rsidRDefault="00781723" w:rsidP="00E3403F"/>
        </w:tc>
      </w:tr>
      <w:tr w:rsidR="00781723" w:rsidTr="00722EF4">
        <w:tc>
          <w:tcPr>
            <w:tcW w:w="1490" w:type="dxa"/>
            <w:vMerge/>
          </w:tcPr>
          <w:p w:rsidR="00781723" w:rsidRDefault="00781723" w:rsidP="0084461B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781723" w:rsidRDefault="00781723">
            <w:r>
              <w:t>Entsorgungssysteme</w:t>
            </w:r>
          </w:p>
        </w:tc>
        <w:tc>
          <w:tcPr>
            <w:tcW w:w="2370" w:type="dxa"/>
          </w:tcPr>
          <w:p w:rsidR="00781723" w:rsidRDefault="00781723"/>
        </w:tc>
        <w:tc>
          <w:tcPr>
            <w:tcW w:w="2167" w:type="dxa"/>
          </w:tcPr>
          <w:p w:rsidR="00781723" w:rsidRDefault="00781723" w:rsidP="00E3403F"/>
        </w:tc>
      </w:tr>
      <w:tr w:rsidR="00431829" w:rsidTr="00722EF4">
        <w:tc>
          <w:tcPr>
            <w:tcW w:w="1490" w:type="dxa"/>
            <w:vMerge w:val="restart"/>
          </w:tcPr>
          <w:p w:rsidR="00431829" w:rsidRPr="0084461B" w:rsidRDefault="00431829">
            <w:pPr>
              <w:rPr>
                <w:shd w:val="clear" w:color="auto" w:fill="FFFFFF"/>
              </w:rPr>
            </w:pPr>
            <w:r w:rsidRPr="00BC49A3">
              <w:rPr>
                <w:rStyle w:val="Fett"/>
                <w:shd w:val="clear" w:color="auto" w:fill="FFFFFF"/>
              </w:rPr>
              <w:t xml:space="preserve">rechtlich </w:t>
            </w:r>
          </w:p>
        </w:tc>
        <w:tc>
          <w:tcPr>
            <w:tcW w:w="4146" w:type="dxa"/>
          </w:tcPr>
          <w:p w:rsidR="00431829" w:rsidRDefault="00431829" w:rsidP="0085798E">
            <w:r>
              <w:t>Umweltauflagen</w:t>
            </w:r>
          </w:p>
        </w:tc>
        <w:tc>
          <w:tcPr>
            <w:tcW w:w="2370" w:type="dxa"/>
          </w:tcPr>
          <w:p w:rsidR="00431829" w:rsidRDefault="00431829"/>
        </w:tc>
        <w:tc>
          <w:tcPr>
            <w:tcW w:w="2167" w:type="dxa"/>
          </w:tcPr>
          <w:p w:rsidR="00431829" w:rsidRDefault="00431829" w:rsidP="00E3403F"/>
        </w:tc>
      </w:tr>
      <w:tr w:rsidR="00431829" w:rsidTr="00722EF4">
        <w:tc>
          <w:tcPr>
            <w:tcW w:w="1490" w:type="dxa"/>
            <w:vMerge/>
          </w:tcPr>
          <w:p w:rsidR="00431829" w:rsidRPr="00BC49A3" w:rsidRDefault="00431829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431829" w:rsidRDefault="00431829" w:rsidP="0085798E">
            <w:r>
              <w:t xml:space="preserve">Rechtssicherheit und Rechtsbewusstsein </w:t>
            </w:r>
          </w:p>
        </w:tc>
        <w:tc>
          <w:tcPr>
            <w:tcW w:w="2370" w:type="dxa"/>
          </w:tcPr>
          <w:p w:rsidR="00431829" w:rsidRDefault="00431829"/>
        </w:tc>
        <w:tc>
          <w:tcPr>
            <w:tcW w:w="2167" w:type="dxa"/>
          </w:tcPr>
          <w:p w:rsidR="00431829" w:rsidRDefault="00431829" w:rsidP="00E3403F"/>
        </w:tc>
      </w:tr>
      <w:tr w:rsidR="00431829" w:rsidTr="00722EF4">
        <w:tc>
          <w:tcPr>
            <w:tcW w:w="1490" w:type="dxa"/>
            <w:vMerge/>
          </w:tcPr>
          <w:p w:rsidR="00431829" w:rsidRPr="00BC49A3" w:rsidRDefault="00431829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431829" w:rsidRDefault="00431829" w:rsidP="0085798E">
            <w:r>
              <w:t xml:space="preserve">Vertragsrecht </w:t>
            </w:r>
          </w:p>
        </w:tc>
        <w:tc>
          <w:tcPr>
            <w:tcW w:w="2370" w:type="dxa"/>
          </w:tcPr>
          <w:p w:rsidR="00431829" w:rsidRDefault="00431829"/>
        </w:tc>
        <w:tc>
          <w:tcPr>
            <w:tcW w:w="2167" w:type="dxa"/>
          </w:tcPr>
          <w:p w:rsidR="00431829" w:rsidRDefault="00431829" w:rsidP="00E3403F"/>
        </w:tc>
      </w:tr>
      <w:tr w:rsidR="00431829" w:rsidTr="00722EF4">
        <w:tc>
          <w:tcPr>
            <w:tcW w:w="1490" w:type="dxa"/>
            <w:vMerge/>
          </w:tcPr>
          <w:p w:rsidR="00431829" w:rsidRPr="00BC49A3" w:rsidRDefault="00431829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431829" w:rsidRDefault="00431829" w:rsidP="0085798E">
            <w:r>
              <w:t>Wettbewerbsrecht</w:t>
            </w:r>
          </w:p>
        </w:tc>
        <w:tc>
          <w:tcPr>
            <w:tcW w:w="2370" w:type="dxa"/>
          </w:tcPr>
          <w:p w:rsidR="00431829" w:rsidRDefault="00431829"/>
        </w:tc>
        <w:tc>
          <w:tcPr>
            <w:tcW w:w="2167" w:type="dxa"/>
          </w:tcPr>
          <w:p w:rsidR="00431829" w:rsidRDefault="00431829" w:rsidP="00E3403F"/>
        </w:tc>
      </w:tr>
      <w:tr w:rsidR="00431829" w:rsidTr="00722EF4">
        <w:tc>
          <w:tcPr>
            <w:tcW w:w="1490" w:type="dxa"/>
            <w:vMerge/>
          </w:tcPr>
          <w:p w:rsidR="00431829" w:rsidRPr="00BC49A3" w:rsidRDefault="00431829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431829" w:rsidRDefault="00431829" w:rsidP="00431829">
            <w:r>
              <w:t>Kartellrecht</w:t>
            </w:r>
          </w:p>
        </w:tc>
        <w:tc>
          <w:tcPr>
            <w:tcW w:w="2370" w:type="dxa"/>
          </w:tcPr>
          <w:p w:rsidR="00431829" w:rsidRDefault="00431829"/>
        </w:tc>
        <w:tc>
          <w:tcPr>
            <w:tcW w:w="2167" w:type="dxa"/>
          </w:tcPr>
          <w:p w:rsidR="00431829" w:rsidRDefault="00431829" w:rsidP="00E3403F"/>
        </w:tc>
      </w:tr>
      <w:tr w:rsidR="00431829" w:rsidTr="00722EF4">
        <w:tc>
          <w:tcPr>
            <w:tcW w:w="1490" w:type="dxa"/>
            <w:vMerge/>
          </w:tcPr>
          <w:p w:rsidR="00431829" w:rsidRPr="00BC49A3" w:rsidRDefault="00431829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431829" w:rsidRDefault="00431829" w:rsidP="00431829">
            <w:r>
              <w:t>Steuerrecht</w:t>
            </w:r>
          </w:p>
        </w:tc>
        <w:tc>
          <w:tcPr>
            <w:tcW w:w="2370" w:type="dxa"/>
          </w:tcPr>
          <w:p w:rsidR="00431829" w:rsidRDefault="00431829"/>
        </w:tc>
        <w:tc>
          <w:tcPr>
            <w:tcW w:w="2167" w:type="dxa"/>
          </w:tcPr>
          <w:p w:rsidR="00431829" w:rsidRDefault="00431829" w:rsidP="00E3403F"/>
        </w:tc>
      </w:tr>
      <w:tr w:rsidR="00431829" w:rsidTr="00722EF4">
        <w:tc>
          <w:tcPr>
            <w:tcW w:w="1490" w:type="dxa"/>
            <w:vMerge/>
          </w:tcPr>
          <w:p w:rsidR="00431829" w:rsidRPr="00BC49A3" w:rsidRDefault="00431829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431829" w:rsidRDefault="00431829" w:rsidP="00431829">
            <w:r>
              <w:t>Arbeitsrecht</w:t>
            </w:r>
          </w:p>
        </w:tc>
        <w:tc>
          <w:tcPr>
            <w:tcW w:w="2370" w:type="dxa"/>
          </w:tcPr>
          <w:p w:rsidR="00431829" w:rsidRDefault="00431829"/>
        </w:tc>
        <w:tc>
          <w:tcPr>
            <w:tcW w:w="2167" w:type="dxa"/>
          </w:tcPr>
          <w:p w:rsidR="00431829" w:rsidRDefault="00431829" w:rsidP="00E3403F"/>
        </w:tc>
      </w:tr>
      <w:tr w:rsidR="00431829" w:rsidTr="00722EF4">
        <w:tc>
          <w:tcPr>
            <w:tcW w:w="1490" w:type="dxa"/>
            <w:vMerge/>
          </w:tcPr>
          <w:p w:rsidR="00431829" w:rsidRPr="00BC49A3" w:rsidRDefault="00431829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431829" w:rsidRDefault="00431829" w:rsidP="00431829">
            <w:r>
              <w:t>Versicherungsrecht</w:t>
            </w:r>
          </w:p>
        </w:tc>
        <w:tc>
          <w:tcPr>
            <w:tcW w:w="2370" w:type="dxa"/>
          </w:tcPr>
          <w:p w:rsidR="00431829" w:rsidRDefault="00431829"/>
        </w:tc>
        <w:tc>
          <w:tcPr>
            <w:tcW w:w="2167" w:type="dxa"/>
          </w:tcPr>
          <w:p w:rsidR="00431829" w:rsidRDefault="00431829" w:rsidP="00E3403F"/>
        </w:tc>
      </w:tr>
      <w:tr w:rsidR="00431829" w:rsidTr="00722EF4">
        <w:tc>
          <w:tcPr>
            <w:tcW w:w="1490" w:type="dxa"/>
            <w:vMerge/>
          </w:tcPr>
          <w:p w:rsidR="00431829" w:rsidRPr="00BC49A3" w:rsidRDefault="00431829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431829" w:rsidRDefault="00431829" w:rsidP="00431829">
            <w:r>
              <w:t>Umweltrecht</w:t>
            </w:r>
          </w:p>
        </w:tc>
        <w:tc>
          <w:tcPr>
            <w:tcW w:w="2370" w:type="dxa"/>
          </w:tcPr>
          <w:p w:rsidR="00431829" w:rsidRDefault="00431829"/>
        </w:tc>
        <w:tc>
          <w:tcPr>
            <w:tcW w:w="2167" w:type="dxa"/>
          </w:tcPr>
          <w:p w:rsidR="00431829" w:rsidRDefault="00431829" w:rsidP="00E3403F"/>
        </w:tc>
      </w:tr>
      <w:tr w:rsidR="00431829" w:rsidTr="00722EF4">
        <w:tc>
          <w:tcPr>
            <w:tcW w:w="1490" w:type="dxa"/>
            <w:vMerge/>
          </w:tcPr>
          <w:p w:rsidR="00431829" w:rsidRPr="00BC49A3" w:rsidRDefault="00431829">
            <w:pPr>
              <w:rPr>
                <w:rStyle w:val="Fett"/>
                <w:shd w:val="clear" w:color="auto" w:fill="FFFFFF"/>
              </w:rPr>
            </w:pPr>
          </w:p>
        </w:tc>
        <w:tc>
          <w:tcPr>
            <w:tcW w:w="4146" w:type="dxa"/>
          </w:tcPr>
          <w:p w:rsidR="00431829" w:rsidRDefault="00431829" w:rsidP="00431829">
            <w:r>
              <w:t>Produkthaftung</w:t>
            </w:r>
          </w:p>
        </w:tc>
        <w:tc>
          <w:tcPr>
            <w:tcW w:w="2370" w:type="dxa"/>
          </w:tcPr>
          <w:p w:rsidR="00431829" w:rsidRDefault="00431829"/>
        </w:tc>
        <w:tc>
          <w:tcPr>
            <w:tcW w:w="2167" w:type="dxa"/>
          </w:tcPr>
          <w:p w:rsidR="00431829" w:rsidRDefault="00431829" w:rsidP="00E3403F"/>
        </w:tc>
      </w:tr>
    </w:tbl>
    <w:p w:rsidR="0084461B" w:rsidRDefault="0084461B"/>
    <w:sectPr w:rsidR="0084461B" w:rsidSect="00D428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08"/>
  <w:hyphenationZone w:val="425"/>
  <w:characterSpacingControl w:val="doNotCompress"/>
  <w:compat/>
  <w:rsids>
    <w:rsidRoot w:val="00317216"/>
    <w:rsid w:val="00017EAF"/>
    <w:rsid w:val="000353E0"/>
    <w:rsid w:val="0003708F"/>
    <w:rsid w:val="0004730C"/>
    <w:rsid w:val="000727B0"/>
    <w:rsid w:val="001A60F2"/>
    <w:rsid w:val="001C2260"/>
    <w:rsid w:val="002A0C2B"/>
    <w:rsid w:val="00317216"/>
    <w:rsid w:val="00431829"/>
    <w:rsid w:val="00431F6F"/>
    <w:rsid w:val="006512C6"/>
    <w:rsid w:val="006830E2"/>
    <w:rsid w:val="00701EE4"/>
    <w:rsid w:val="00722EF4"/>
    <w:rsid w:val="00781723"/>
    <w:rsid w:val="007A05B3"/>
    <w:rsid w:val="007B18A1"/>
    <w:rsid w:val="007D7C84"/>
    <w:rsid w:val="0084461B"/>
    <w:rsid w:val="0085798E"/>
    <w:rsid w:val="008F61E6"/>
    <w:rsid w:val="009C33B8"/>
    <w:rsid w:val="00AC5A79"/>
    <w:rsid w:val="00AD3C1A"/>
    <w:rsid w:val="00B86661"/>
    <w:rsid w:val="00CE3782"/>
    <w:rsid w:val="00CE7C29"/>
    <w:rsid w:val="00D4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28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44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basedOn w:val="Absatz-Standardschriftart"/>
    <w:uiPriority w:val="22"/>
    <w:qFormat/>
    <w:rsid w:val="0084461B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5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</dc:creator>
  <cp:keywords/>
  <dc:description/>
  <cp:lastModifiedBy>A.P.</cp:lastModifiedBy>
  <cp:revision>2</cp:revision>
  <dcterms:created xsi:type="dcterms:W3CDTF">2022-11-09T10:33:00Z</dcterms:created>
  <dcterms:modified xsi:type="dcterms:W3CDTF">2022-11-09T10:33:00Z</dcterms:modified>
</cp:coreProperties>
</file>