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F3864"/>
          <w:sz w:val="60"/>
          <w:szCs w:val="60"/>
        </w:rPr>
        <w:t xml:space="preserve">NYANSA AI</w:t>
      </w:r>
    </w:p>
    <w:p>
      <w:pPr>
        <w:spacing w:after="600"/>
        <w:jc w:val="center"/>
      </w:pPr>
      <w:r>
        <w:rPr>
          <w:i/>
          <w:iCs/>
          <w:color w:val="4A4A4A"/>
          <w:sz w:val="26"/>
          <w:szCs w:val="26"/>
        </w:rPr>
        <w:t xml:space="preserve">Enterprise Document Intelligence</w:t>
      </w:r>
    </w:p>
    <w:p>
      <w:pPr>
        <w:spacing w:after="200"/>
        <w:jc w:val="center"/>
      </w:pPr>
      <w:r>
        <w:rPr>
          <w:b/>
          <w:bCs/>
          <w:sz w:val="40"/>
          <w:szCs w:val="40"/>
        </w:rPr>
        <w:t xml:space="preserve">Tenant Onboarding</w:t>
      </w:r>
    </w:p>
    <w:p>
      <w:pPr>
        <w:spacing w:after="700"/>
        <w:jc w:val="center"/>
      </w:pPr>
      <w:r>
        <w:rPr>
          <w:color w:val="4A4A4A"/>
          <w:sz w:val="26"/>
          <w:szCs w:val="26"/>
        </w:rPr>
        <w:t xml:space="preserve">How a new organisation joins the platform</w:t>
      </w:r>
    </w:p>
    <w:p>
      <w:pPr>
        <w:spacing w:after="0"/>
        <w:jc w:val="center"/>
      </w:pPr>
      <w:r>
        <w:rPr>
          <w:color w:val="4A4A4A"/>
          <w:sz w:val="24"/>
          <w:szCs w:val="24"/>
        </w:rPr>
        <w:t xml:space="preserve">22 October 2026</w:t>
      </w:r>
    </w:p>
    <w:p>
      <w:r>
        <w:br w:type="page"/>
      </w:r>
    </w:p>
    <w:p>
      <w:pPr>
        <w:pStyle w:val="Heading1"/>
        <w:keepNext/>
        <w:spacing w:after="240" w:before="420" w:line="280"/>
      </w:pPr>
      <w:r>
        <w:rPr>
          <w:b/>
          <w:bCs/>
          <w:color w:val="1F3864"/>
          <w:sz w:val="34"/>
          <w:szCs w:val="34"/>
        </w:rPr>
        <w:t xml:space="preserve">Summary</w:t>
      </w:r>
    </w:p>
    <w:p>
      <w:pPr>
        <w:spacing w:after="180" w:line="320"/>
        <w:jc w:val="both"/>
      </w:pPr>
      <w:r>
        <w:rPr>
          <w:sz w:val="24"/>
          <w:szCs w:val="24"/>
        </w:rPr>
        <w:t xml:space="preserve">A new organisation joins Nyansa AI by signing up on the main site, confirming its email address, and naming its workspace. The platform then provisions a dedicated workspace on its own web address, and the person who created it becomes its first administrator, able to invite colleagues.</w:t>
      </w:r>
    </w:p>
    <w:p>
      <w:pPr>
        <w:spacing w:after="180" w:line="320"/>
        <w:jc w:val="both"/>
      </w:pPr>
      <w:r>
        <w:rPr>
          <w:sz w:val="24"/>
          <w:szCs w:val="24"/>
        </w:rPr>
        <w:t xml:space="preserve">The whole sequence takes a few minutes and requires no action from the Nyansa AI team. Every screenshot in this report was captured by completing the process end to end on the live platform, using a fictional organisation created for the purpose.</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400"/>
        <w:gridCol w:w="6620"/>
      </w:tblGrid>
      <w:tr>
        <w:trPr>
          <w:cantSplit/>
          <w:tblHeader/>
        </w:trPr>
        <w:tc>
          <w:tcPr>
            <w:tcW w:type="dxa" w:w="2400"/>
            <w:shd w:fill="E8EDF5" w:val="clear"/>
            <w:tcMar>
              <w:top w:type="dxa" w:w="110"/>
              <w:left w:type="dxa" w:w="130"/>
              <w:bottom w:type="dxa" w:w="110"/>
              <w:right w:type="dxa" w:w="130"/>
            </w:tcMar>
          </w:tcPr>
          <w:p>
            <w:pPr>
              <w:spacing w:after="0" w:line="252"/>
              <w:jc w:val="left"/>
            </w:pPr>
            <w:r>
              <w:rPr>
                <w:b/>
                <w:bCs/>
                <w:sz w:val="21"/>
                <w:szCs w:val="21"/>
              </w:rPr>
              <w:t xml:space="preserve">Stage</w:t>
            </w:r>
          </w:p>
        </w:tc>
        <w:tc>
          <w:tcPr>
            <w:tcW w:type="dxa" w:w="6620"/>
            <w:shd w:fill="E8EDF5" w:val="clear"/>
            <w:tcMar>
              <w:top w:type="dxa" w:w="110"/>
              <w:left w:type="dxa" w:w="130"/>
              <w:bottom w:type="dxa" w:w="110"/>
              <w:right w:type="dxa" w:w="130"/>
            </w:tcMar>
          </w:tcPr>
          <w:p>
            <w:pPr>
              <w:spacing w:after="0" w:line="252"/>
              <w:jc w:val="left"/>
            </w:pPr>
            <w:r>
              <w:rPr>
                <w:b/>
                <w:bCs/>
                <w:sz w:val="21"/>
                <w:szCs w:val="21"/>
              </w:rPr>
              <w:t xml:space="preserve">What happens</w:t>
            </w:r>
          </w:p>
        </w:tc>
      </w:tr>
      <w:tr>
        <w:trPr>
          <w:cantSplit/>
          <w:tblHeader w:val="false"/>
        </w:trPr>
        <w:tc>
          <w:tcPr>
            <w:tcW w:type="dxa" w:w="2400"/>
            <w:tcMar>
              <w:top w:type="dxa" w:w="110"/>
              <w:left w:type="dxa" w:w="130"/>
              <w:bottom w:type="dxa" w:w="110"/>
              <w:right w:type="dxa" w:w="130"/>
            </w:tcMar>
          </w:tcPr>
          <w:p>
            <w:pPr>
              <w:spacing w:after="0" w:line="252"/>
              <w:jc w:val="left"/>
            </w:pPr>
            <w:r>
              <w:rPr>
                <w:b w:val="false"/>
                <w:bCs w:val="false"/>
                <w:sz w:val="21"/>
                <w:szCs w:val="21"/>
              </w:rPr>
              <w:t xml:space="preserve">1. Account details</w:t>
            </w:r>
          </w:p>
        </w:tc>
        <w:tc>
          <w:tcPr>
            <w:tcW w:type="dxa" w:w="6620"/>
            <w:tcMar>
              <w:top w:type="dxa" w:w="110"/>
              <w:left w:type="dxa" w:w="130"/>
              <w:bottom w:type="dxa" w:w="110"/>
              <w:right w:type="dxa" w:w="130"/>
            </w:tcMar>
          </w:tcPr>
          <w:p>
            <w:pPr>
              <w:spacing w:after="0" w:line="252"/>
              <w:jc w:val="left"/>
            </w:pPr>
            <w:r>
              <w:rPr>
                <w:b w:val="false"/>
                <w:bCs w:val="false"/>
                <w:sz w:val="21"/>
                <w:szCs w:val="21"/>
              </w:rPr>
              <w:t xml:space="preserve">Name, work email and password</w:t>
            </w:r>
          </w:p>
        </w:tc>
      </w:tr>
      <w:tr>
        <w:trPr>
          <w:cantSplit/>
          <w:tblHeader w:val="false"/>
        </w:trPr>
        <w:tc>
          <w:tcPr>
            <w:tcW w:type="dxa" w:w="2400"/>
            <w:tcMar>
              <w:top w:type="dxa" w:w="110"/>
              <w:left w:type="dxa" w:w="130"/>
              <w:bottom w:type="dxa" w:w="110"/>
              <w:right w:type="dxa" w:w="130"/>
            </w:tcMar>
          </w:tcPr>
          <w:p>
            <w:pPr>
              <w:spacing w:after="0" w:line="252"/>
              <w:jc w:val="left"/>
            </w:pPr>
            <w:r>
              <w:rPr>
                <w:b w:val="false"/>
                <w:bCs w:val="false"/>
                <w:sz w:val="21"/>
                <w:szCs w:val="21"/>
              </w:rPr>
              <w:t xml:space="preserve">2. Organisation</w:t>
            </w:r>
          </w:p>
        </w:tc>
        <w:tc>
          <w:tcPr>
            <w:tcW w:type="dxa" w:w="6620"/>
            <w:tcMar>
              <w:top w:type="dxa" w:w="110"/>
              <w:left w:type="dxa" w:w="130"/>
              <w:bottom w:type="dxa" w:w="110"/>
              <w:right w:type="dxa" w:w="130"/>
            </w:tcMar>
          </w:tcPr>
          <w:p>
            <w:pPr>
              <w:spacing w:after="0" w:line="252"/>
              <w:jc w:val="left"/>
            </w:pPr>
            <w:r>
              <w:rPr>
                <w:b w:val="false"/>
                <w:bCs w:val="false"/>
                <w:sz w:val="21"/>
                <w:szCs w:val="21"/>
              </w:rPr>
              <w:t xml:space="preserve">Organisation name; the web address is derived and checked for availability</w:t>
            </w:r>
          </w:p>
        </w:tc>
      </w:tr>
      <w:tr>
        <w:trPr>
          <w:cantSplit/>
          <w:tblHeader w:val="false"/>
        </w:trPr>
        <w:tc>
          <w:tcPr>
            <w:tcW w:type="dxa" w:w="2400"/>
            <w:tcMar>
              <w:top w:type="dxa" w:w="110"/>
              <w:left w:type="dxa" w:w="130"/>
              <w:bottom w:type="dxa" w:w="110"/>
              <w:right w:type="dxa" w:w="130"/>
            </w:tcMar>
          </w:tcPr>
          <w:p>
            <w:pPr>
              <w:spacing w:after="0" w:line="252"/>
              <w:jc w:val="left"/>
            </w:pPr>
            <w:r>
              <w:rPr>
                <w:b w:val="false"/>
                <w:bCs w:val="false"/>
                <w:sz w:val="21"/>
                <w:szCs w:val="21"/>
              </w:rPr>
              <w:t xml:space="preserve">3. Email confirmation</w:t>
            </w:r>
          </w:p>
        </w:tc>
        <w:tc>
          <w:tcPr>
            <w:tcW w:type="dxa" w:w="6620"/>
            <w:tcMar>
              <w:top w:type="dxa" w:w="110"/>
              <w:left w:type="dxa" w:w="130"/>
              <w:bottom w:type="dxa" w:w="110"/>
              <w:right w:type="dxa" w:w="130"/>
            </w:tcMar>
          </w:tcPr>
          <w:p>
            <w:pPr>
              <w:spacing w:after="0" w:line="252"/>
              <w:jc w:val="left"/>
            </w:pPr>
            <w:r>
              <w:rPr>
                <w:b w:val="false"/>
                <w:bCs w:val="false"/>
                <w:sz w:val="21"/>
                <w:szCs w:val="21"/>
              </w:rPr>
              <w:t xml:space="preserve">A confirmation link is sent to the address given</w:t>
            </w:r>
          </w:p>
        </w:tc>
      </w:tr>
      <w:tr>
        <w:trPr>
          <w:cantSplit/>
          <w:tblHeader w:val="false"/>
        </w:trPr>
        <w:tc>
          <w:tcPr>
            <w:tcW w:type="dxa" w:w="2400"/>
            <w:tcMar>
              <w:top w:type="dxa" w:w="110"/>
              <w:left w:type="dxa" w:w="130"/>
              <w:bottom w:type="dxa" w:w="110"/>
              <w:right w:type="dxa" w:w="130"/>
            </w:tcMar>
          </w:tcPr>
          <w:p>
            <w:pPr>
              <w:spacing w:after="0" w:line="252"/>
              <w:jc w:val="left"/>
            </w:pPr>
            <w:r>
              <w:rPr>
                <w:b w:val="false"/>
                <w:bCs w:val="false"/>
                <w:sz w:val="21"/>
                <w:szCs w:val="21"/>
              </w:rPr>
              <w:t xml:space="preserve">4. Workspace setup</w:t>
            </w:r>
          </w:p>
        </w:tc>
        <w:tc>
          <w:tcPr>
            <w:tcW w:type="dxa" w:w="6620"/>
            <w:tcMar>
              <w:top w:type="dxa" w:w="110"/>
              <w:left w:type="dxa" w:w="130"/>
              <w:bottom w:type="dxa" w:w="110"/>
              <w:right w:type="dxa" w:w="130"/>
            </w:tcMar>
          </w:tcPr>
          <w:p>
            <w:pPr>
              <w:spacing w:after="0" w:line="252"/>
              <w:jc w:val="left"/>
            </w:pPr>
            <w:r>
              <w:rPr>
                <w:b w:val="false"/>
                <w:bCs w:val="false"/>
                <w:sz w:val="21"/>
                <w:szCs w:val="21"/>
              </w:rPr>
              <w:t xml:space="preserve">The organisation name and address are confirmed</w:t>
            </w:r>
          </w:p>
        </w:tc>
      </w:tr>
      <w:tr>
        <w:trPr>
          <w:cantSplit/>
          <w:tblHeader w:val="false"/>
        </w:trPr>
        <w:tc>
          <w:tcPr>
            <w:tcW w:type="dxa" w:w="2400"/>
            <w:tcMar>
              <w:top w:type="dxa" w:w="110"/>
              <w:left w:type="dxa" w:w="130"/>
              <w:bottom w:type="dxa" w:w="110"/>
              <w:right w:type="dxa" w:w="130"/>
            </w:tcMar>
          </w:tcPr>
          <w:p>
            <w:pPr>
              <w:spacing w:after="0" w:line="252"/>
              <w:jc w:val="left"/>
            </w:pPr>
            <w:r>
              <w:rPr>
                <w:b w:val="false"/>
                <w:bCs w:val="false"/>
                <w:sz w:val="21"/>
                <w:szCs w:val="21"/>
              </w:rPr>
              <w:t xml:space="preserve">5. Workspace created</w:t>
            </w:r>
          </w:p>
        </w:tc>
        <w:tc>
          <w:tcPr>
            <w:tcW w:type="dxa" w:w="6620"/>
            <w:tcMar>
              <w:top w:type="dxa" w:w="110"/>
              <w:left w:type="dxa" w:w="130"/>
              <w:bottom w:type="dxa" w:w="110"/>
              <w:right w:type="dxa" w:w="130"/>
            </w:tcMar>
          </w:tcPr>
          <w:p>
            <w:pPr>
              <w:spacing w:after="0" w:line="252"/>
              <w:jc w:val="left"/>
            </w:pPr>
            <w:r>
              <w:rPr>
                <w:b w:val="false"/>
                <w:bCs w:val="false"/>
                <w:sz w:val="21"/>
                <w:szCs w:val="21"/>
              </w:rPr>
              <w:t xml:space="preserve">A dedicated workspace opens at its own address</w:t>
            </w:r>
          </w:p>
        </w:tc>
      </w:tr>
      <w:tr>
        <w:trPr>
          <w:cantSplit/>
          <w:tblHeader w:val="false"/>
        </w:trPr>
        <w:tc>
          <w:tcPr>
            <w:tcW w:type="dxa" w:w="2400"/>
            <w:tcMar>
              <w:top w:type="dxa" w:w="110"/>
              <w:left w:type="dxa" w:w="130"/>
              <w:bottom w:type="dxa" w:w="110"/>
              <w:right w:type="dxa" w:w="130"/>
            </w:tcMar>
          </w:tcPr>
          <w:p>
            <w:pPr>
              <w:spacing w:after="0" w:line="252"/>
              <w:jc w:val="left"/>
            </w:pPr>
            <w:r>
              <w:rPr>
                <w:b w:val="false"/>
                <w:bCs w:val="false"/>
                <w:sz w:val="21"/>
                <w:szCs w:val="21"/>
              </w:rPr>
              <w:t xml:space="preserve">6. Team invited</w:t>
            </w:r>
          </w:p>
        </w:tc>
        <w:tc>
          <w:tcPr>
            <w:tcW w:type="dxa" w:w="6620"/>
            <w:tcMar>
              <w:top w:type="dxa" w:w="110"/>
              <w:left w:type="dxa" w:w="130"/>
              <w:bottom w:type="dxa" w:w="110"/>
              <w:right w:type="dxa" w:w="130"/>
            </w:tcMar>
          </w:tcPr>
          <w:p>
            <w:pPr>
              <w:spacing w:after="0" w:line="252"/>
              <w:jc w:val="left"/>
            </w:pPr>
            <w:r>
              <w:rPr>
                <w:b w:val="false"/>
                <w:bCs w:val="false"/>
                <w:sz w:val="21"/>
                <w:szCs w:val="21"/>
              </w:rPr>
              <w:t xml:space="preserve">The first administrator invites colleagues and assigns roles</w:t>
            </w:r>
          </w:p>
        </w:tc>
      </w:tr>
    </w:tbl>
    <w:p>
      <w:pPr>
        <w:spacing w:after="220"/>
      </w:pPr>
    </w:p>
    <w:p>
      <w:pPr>
        <w:spacing w:after="180" w:line="320"/>
        <w:jc w:val="both"/>
      </w:pPr>
      <w:r>
        <w:rPr>
          <w:b/>
          <w:bCs/>
          <w:sz w:val="24"/>
          <w:szCs w:val="24"/>
        </w:rPr>
        <w:t xml:space="preserve">One point for administrators. </w:t>
      </w:r>
      <w:r>
        <w:rPr>
          <w:sz w:val="24"/>
          <w:szCs w:val="24"/>
        </w:rPr>
        <w:t xml:space="preserve">There is currently no payment step and no approval step. Anyone who completes this form receives a working workspace immediately. That is appropriate while the platform is in controlled use, and it is the specific thing the planned subscription work changes — a workspace will then be created in a "payment required" state and open only once payment is confirmed.</w:t>
      </w:r>
    </w:p>
    <w:p>
      <w:r>
        <w:br w:type="page"/>
      </w:r>
    </w:p>
    <w:p>
      <w:pPr>
        <w:pStyle w:val="Heading1"/>
        <w:keepNext/>
        <w:spacing w:after="240" w:before="420" w:line="280"/>
      </w:pPr>
      <w:r>
        <w:rPr>
          <w:b/>
          <w:bCs/>
          <w:color w:val="1F3864"/>
          <w:sz w:val="34"/>
          <w:szCs w:val="34"/>
        </w:rPr>
        <w:t xml:space="preserve">The onboarding process</w:t>
      </w:r>
    </w:p>
    <w:p>
      <w:pPr>
        <w:pStyle w:val="Heading2"/>
        <w:keepNext/>
        <w:spacing w:after="180" w:before="380" w:line="280"/>
      </w:pPr>
      <w:r>
        <w:rPr>
          <w:b/>
          <w:bCs/>
          <w:color w:val="4A4A4A"/>
          <w:sz w:val="28"/>
          <w:szCs w:val="28"/>
        </w:rPr>
        <w:t xml:space="preserve">Step 1  </w:t>
      </w:r>
      <w:r>
        <w:rPr>
          <w:b/>
          <w:bCs/>
          <w:color w:val="000000"/>
          <w:sz w:val="28"/>
          <w:szCs w:val="28"/>
        </w:rPr>
        <w:t xml:space="preserve">Create the account</w:t>
      </w:r>
    </w:p>
    <w:p>
      <w:pPr>
        <w:spacing w:after="180" w:line="320"/>
        <w:jc w:val="both"/>
      </w:pPr>
      <w:r>
        <w:rPr>
          <w:sz w:val="24"/>
          <w:szCs w:val="24"/>
        </w:rPr>
        <w:t xml:space="preserve">The organisation begins at the sign-up page on the main site. The first stage asks only for the individual’s own details: their name, their work email address and a password of at least eight characters.</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1 — The sign-up page, first stage</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2 — Account details entered</w:t>
      </w:r>
    </w:p>
    <w:p>
      <w:pPr>
        <w:pStyle w:val="Heading2"/>
        <w:keepNext/>
        <w:spacing w:after="180" w:before="380" w:line="280"/>
      </w:pPr>
      <w:r>
        <w:rPr>
          <w:b/>
          <w:bCs/>
          <w:color w:val="4A4A4A"/>
          <w:sz w:val="28"/>
          <w:szCs w:val="28"/>
        </w:rPr>
        <w:t xml:space="preserve">Step 2  </w:t>
      </w:r>
      <w:r>
        <w:rPr>
          <w:b/>
          <w:bCs/>
          <w:color w:val="000000"/>
          <w:sz w:val="28"/>
          <w:szCs w:val="28"/>
        </w:rPr>
        <w:t xml:space="preserve">Name the organisation</w:t>
      </w:r>
    </w:p>
    <w:p>
      <w:pPr>
        <w:spacing w:after="180" w:line="320"/>
        <w:jc w:val="both"/>
      </w:pPr>
      <w:r>
        <w:rPr>
          <w:sz w:val="24"/>
          <w:szCs w:val="24"/>
        </w:rPr>
        <w:t xml:space="preserve">The second stage asks for the organisation. As the name is typed, the platform derives a web address from it and checks in real time whether that address is free, so a clash is caught before the account is created rather than after.</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3 — The organisation name, with its web address checked as it is typed</w:t>
      </w:r>
    </w:p>
    <w:p>
      <w:pPr>
        <w:spacing w:after="180" w:line="320"/>
        <w:jc w:val="both"/>
      </w:pPr>
      <w:r>
        <w:rPr>
          <w:b/>
          <w:bCs/>
          <w:sz w:val="24"/>
          <w:szCs w:val="24"/>
        </w:rPr>
        <w:t xml:space="preserve">How the address is chosen. </w:t>
      </w:r>
      <w:r>
        <w:rPr>
          <w:sz w:val="24"/>
          <w:szCs w:val="24"/>
        </w:rPr>
        <w:t xml:space="preserve">The address is derived automatically from the organisation name: "Riverstone Advisory" becomes riverstone-advisory.nyansaai.com. It can be edited before submitting. Once chosen it identifies the workspace permanently, so it is worth choosing deliberately.</w:t>
      </w:r>
    </w:p>
    <w:p>
      <w:pPr>
        <w:pStyle w:val="Heading2"/>
        <w:keepNext/>
        <w:spacing w:after="180" w:before="380" w:line="280"/>
      </w:pPr>
      <w:r>
        <w:rPr>
          <w:b/>
          <w:bCs/>
          <w:color w:val="4A4A4A"/>
          <w:sz w:val="28"/>
          <w:szCs w:val="28"/>
        </w:rPr>
        <w:t xml:space="preserve">Step 3  </w:t>
      </w:r>
      <w:r>
        <w:rPr>
          <w:b/>
          <w:bCs/>
          <w:color w:val="000000"/>
          <w:sz w:val="28"/>
          <w:szCs w:val="28"/>
        </w:rPr>
        <w:t xml:space="preserve">Confirm the email address</w:t>
      </w:r>
    </w:p>
    <w:p>
      <w:pPr>
        <w:spacing w:after="180" w:line="320"/>
        <w:jc w:val="both"/>
      </w:pPr>
      <w:r>
        <w:rPr>
          <w:sz w:val="24"/>
          <w:szCs w:val="24"/>
        </w:rPr>
        <w:t xml:space="preserve">On submission, a confirmation email is sent to the address given. The account exists at this point but the workspace does not: confirmation proves the address is genuine and reachable before any workspace is provisioned.</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4 — Confirmation that the email has been sent</w:t>
      </w:r>
    </w:p>
    <w:p>
      <w:pPr>
        <w:spacing w:after="180" w:line="320"/>
        <w:jc w:val="both"/>
      </w:pPr>
      <w:r>
        <w:rPr>
          <w:b/>
          <w:bCs/>
          <w:sz w:val="24"/>
          <w:szCs w:val="24"/>
        </w:rPr>
        <w:t xml:space="preserve">If the email does not arrive. </w:t>
      </w:r>
      <w:r>
        <w:rPr>
          <w:sz w:val="24"/>
          <w:szCs w:val="24"/>
        </w:rPr>
        <w:t xml:space="preserve">It is worth checking the junk folder. Mail filters at many organisations treat a first message from an unfamiliar sender with suspicion. Marking it as not junk means subsequent messages — invitations, password resets — arrive normally.</w:t>
      </w:r>
    </w:p>
    <w:p>
      <w:pPr>
        <w:pStyle w:val="Heading2"/>
        <w:keepNext/>
        <w:spacing w:after="180" w:before="380" w:line="280"/>
      </w:pPr>
      <w:r>
        <w:rPr>
          <w:b/>
          <w:bCs/>
          <w:color w:val="4A4A4A"/>
          <w:sz w:val="28"/>
          <w:szCs w:val="28"/>
        </w:rPr>
        <w:t xml:space="preserve">Step 4  </w:t>
      </w:r>
      <w:r>
        <w:rPr>
          <w:b/>
          <w:bCs/>
          <w:color w:val="000000"/>
          <w:sz w:val="28"/>
          <w:szCs w:val="28"/>
        </w:rPr>
        <w:t xml:space="preserve">Confirm the workspace</w:t>
      </w:r>
    </w:p>
    <w:p>
      <w:pPr>
        <w:spacing w:after="180" w:line="320"/>
        <w:jc w:val="both"/>
      </w:pPr>
      <w:r>
        <w:rPr>
          <w:sz w:val="24"/>
          <w:szCs w:val="24"/>
        </w:rPr>
        <w:t xml:space="preserve">Following the link in the email signs the person in and brings them to the workspace setup step, where the organisation name and web address captured earlier are shown for confirmation. Both can still be changed here.</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5 — Confirming the workspace name and address</w:t>
      </w:r>
    </w:p>
    <w:p>
      <w:pPr>
        <w:pStyle w:val="Heading2"/>
        <w:keepNext/>
        <w:spacing w:after="180" w:before="380" w:line="280"/>
      </w:pPr>
      <w:r>
        <w:rPr>
          <w:b/>
          <w:bCs/>
          <w:color w:val="4A4A4A"/>
          <w:sz w:val="28"/>
          <w:szCs w:val="28"/>
        </w:rPr>
        <w:t xml:space="preserve">Step 5  </w:t>
      </w:r>
      <w:r>
        <w:rPr>
          <w:b/>
          <w:bCs/>
          <w:color w:val="000000"/>
          <w:sz w:val="28"/>
          <w:szCs w:val="28"/>
        </w:rPr>
        <w:t xml:space="preserve">The workspace opens</w:t>
      </w:r>
    </w:p>
    <w:p>
      <w:pPr>
        <w:spacing w:after="180" w:line="320"/>
        <w:jc w:val="both"/>
      </w:pPr>
      <w:r>
        <w:rPr>
          <w:sz w:val="24"/>
          <w:szCs w:val="24"/>
        </w:rPr>
        <w:t xml:space="preserve">Confirming creates the workspace and moves the person straight into it, at the organisation’s own address. The workspace is empty and ready for documents.</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6 — The new workspace, at its own address</w:t>
      </w:r>
    </w:p>
    <w:p>
      <w:pPr>
        <w:spacing w:after="180" w:line="320"/>
        <w:jc w:val="both"/>
      </w:pPr>
      <w:r>
        <w:rPr>
          <w:sz w:val="24"/>
          <w:szCs w:val="24"/>
        </w:rPr>
        <w:t xml:space="preserve">Three things are set automatically at this moment:</w:t>
      </w:r>
    </w:p>
    <w:p>
      <w:pPr>
        <w:pStyle w:val="ListParagraph"/>
        <w:numPr>
          <w:ilvl w:val="0"/>
          <w:numId w:val="2"/>
        </w:numPr>
        <w:spacing w:after="120" w:line="320"/>
        <w:jc w:val="left"/>
      </w:pPr>
      <w:r>
        <w:rPr>
          <w:sz w:val="24"/>
          <w:szCs w:val="24"/>
        </w:rPr>
        <w:t xml:space="preserve">The person who created the workspace becomes its first Senior user, the role that can invite colleagues, manage documents and change workspace settings.</w:t>
      </w:r>
    </w:p>
    <w:p>
      <w:pPr>
        <w:pStyle w:val="ListParagraph"/>
        <w:numPr>
          <w:ilvl w:val="0"/>
          <w:numId w:val="2"/>
        </w:numPr>
        <w:spacing w:after="120" w:line="320"/>
        <w:jc w:val="left"/>
      </w:pPr>
      <w:r>
        <w:rPr>
          <w:sz w:val="24"/>
          <w:szCs w:val="24"/>
        </w:rPr>
        <w:t xml:space="preserve">Invitations are restricted to the email domain of the person who signed up, so an account created from an address at one organisation cannot invite outsiders without that restriction being lifted deliberately in Settings.</w:t>
      </w:r>
    </w:p>
    <w:p>
      <w:pPr>
        <w:pStyle w:val="ListParagraph"/>
        <w:numPr>
          <w:ilvl w:val="0"/>
          <w:numId w:val="2"/>
        </w:numPr>
        <w:spacing w:after="120" w:line="320"/>
        <w:jc w:val="left"/>
      </w:pPr>
      <w:r>
        <w:rPr>
          <w:sz w:val="24"/>
          <w:szCs w:val="24"/>
        </w:rPr>
        <w:t xml:space="preserve">The workspace starts on the Starter plan.</w:t>
      </w:r>
    </w:p>
    <w:p>
      <w:pPr>
        <w:pStyle w:val="Heading2"/>
        <w:keepNext/>
        <w:spacing w:after="180" w:before="380" w:line="280"/>
      </w:pPr>
      <w:r>
        <w:rPr>
          <w:b/>
          <w:bCs/>
          <w:color w:val="4A4A4A"/>
          <w:sz w:val="28"/>
          <w:szCs w:val="28"/>
        </w:rPr>
        <w:t xml:space="preserve">Step 6  </w:t>
      </w:r>
      <w:r>
        <w:rPr>
          <w:b/>
          <w:bCs/>
          <w:color w:val="000000"/>
          <w:sz w:val="28"/>
          <w:szCs w:val="28"/>
        </w:rPr>
        <w:t xml:space="preserve">Invite the team</w:t>
      </w:r>
    </w:p>
    <w:p>
      <w:pPr>
        <w:spacing w:after="180" w:line="320"/>
        <w:jc w:val="both"/>
      </w:pPr>
      <w:r>
        <w:rPr>
          <w:sz w:val="24"/>
          <w:szCs w:val="24"/>
        </w:rPr>
        <w:t xml:space="preserve">The first administrator invites colleagues from the Users page by entering an email address and choosing a role. Each person receives a link to set their own password; administrators never see or set passwords on their behalf.</w:t>
      </w:r>
    </w:p>
    <w:p>
      <w:pPr>
        <w:keepNext/>
        <w:spacing w:after="80" w:before="1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300"/>
        <w:jc w:val="center"/>
      </w:pPr>
      <w:r>
        <w:rPr>
          <w:i/>
          <w:iCs/>
          <w:color w:val="4A4A4A"/>
          <w:sz w:val="19"/>
          <w:szCs w:val="19"/>
        </w:rPr>
        <w:t xml:space="preserve">Figure 7 — Inviting colleagues and assigning roles</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1700"/>
        <w:gridCol w:w="1480"/>
        <w:gridCol w:w="1600"/>
        <w:gridCol w:w="1600"/>
        <w:gridCol w:w="1400"/>
        <w:gridCol w:w="1240"/>
      </w:tblGrid>
      <w:tr>
        <w:trPr>
          <w:cantSplit/>
          <w:tblHeader/>
        </w:trPr>
        <w:tc>
          <w:tcPr>
            <w:tcW w:type="dxa" w:w="1700"/>
            <w:shd w:fill="E8EDF5" w:val="clear"/>
            <w:tcMar>
              <w:top w:type="dxa" w:w="110"/>
              <w:left w:type="dxa" w:w="130"/>
              <w:bottom w:type="dxa" w:w="110"/>
              <w:right w:type="dxa" w:w="130"/>
            </w:tcMar>
          </w:tcPr>
          <w:p>
            <w:pPr>
              <w:spacing w:after="0" w:line="252"/>
              <w:jc w:val="left"/>
            </w:pPr>
            <w:r>
              <w:rPr>
                <w:b/>
                <w:bCs/>
                <w:sz w:val="21"/>
                <w:szCs w:val="21"/>
              </w:rPr>
              <w:t xml:space="preserve">Role</w:t>
            </w:r>
          </w:p>
        </w:tc>
        <w:tc>
          <w:tcPr>
            <w:tcW w:type="dxa" w:w="1480"/>
            <w:shd w:fill="E8EDF5" w:val="clear"/>
            <w:tcMar>
              <w:top w:type="dxa" w:w="110"/>
              <w:left w:type="dxa" w:w="130"/>
              <w:bottom w:type="dxa" w:w="110"/>
              <w:right w:type="dxa" w:w="130"/>
            </w:tcMar>
          </w:tcPr>
          <w:p>
            <w:pPr>
              <w:spacing w:after="0" w:line="252"/>
              <w:jc w:val="left"/>
            </w:pPr>
            <w:r>
              <w:rPr>
                <w:b/>
                <w:bCs/>
                <w:sz w:val="21"/>
                <w:szCs w:val="21"/>
              </w:rPr>
              <w:t xml:space="preserve">Ask questions</w:t>
            </w:r>
          </w:p>
        </w:tc>
        <w:tc>
          <w:tcPr>
            <w:tcW w:type="dxa" w:w="1600"/>
            <w:shd w:fill="E8EDF5" w:val="clear"/>
            <w:tcMar>
              <w:top w:type="dxa" w:w="110"/>
              <w:left w:type="dxa" w:w="130"/>
              <w:bottom w:type="dxa" w:w="110"/>
              <w:right w:type="dxa" w:w="130"/>
            </w:tcMar>
          </w:tcPr>
          <w:p>
            <w:pPr>
              <w:spacing w:after="0" w:line="252"/>
              <w:jc w:val="left"/>
            </w:pPr>
            <w:r>
              <w:rPr>
                <w:b/>
                <w:bCs/>
                <w:sz w:val="21"/>
                <w:szCs w:val="21"/>
              </w:rPr>
              <w:t xml:space="preserve">Upload documents</w:t>
            </w:r>
          </w:p>
        </w:tc>
        <w:tc>
          <w:tcPr>
            <w:tcW w:type="dxa" w:w="1600"/>
            <w:shd w:fill="E8EDF5" w:val="clear"/>
            <w:tcMar>
              <w:top w:type="dxa" w:w="110"/>
              <w:left w:type="dxa" w:w="130"/>
              <w:bottom w:type="dxa" w:w="110"/>
              <w:right w:type="dxa" w:w="130"/>
            </w:tcMar>
          </w:tcPr>
          <w:p>
            <w:pPr>
              <w:spacing w:after="0" w:line="252"/>
              <w:jc w:val="left"/>
            </w:pPr>
            <w:r>
              <w:rPr>
                <w:b/>
                <w:bCs/>
                <w:sz w:val="21"/>
                <w:szCs w:val="21"/>
              </w:rPr>
              <w:t xml:space="preserve">Delete documents</w:t>
            </w:r>
          </w:p>
        </w:tc>
        <w:tc>
          <w:tcPr>
            <w:tcW w:type="dxa" w:w="1400"/>
            <w:shd w:fill="E8EDF5" w:val="clear"/>
            <w:tcMar>
              <w:top w:type="dxa" w:w="110"/>
              <w:left w:type="dxa" w:w="130"/>
              <w:bottom w:type="dxa" w:w="110"/>
              <w:right w:type="dxa" w:w="130"/>
            </w:tcMar>
          </w:tcPr>
          <w:p>
            <w:pPr>
              <w:spacing w:after="0" w:line="252"/>
              <w:jc w:val="left"/>
            </w:pPr>
            <w:r>
              <w:rPr>
                <w:b/>
                <w:bCs/>
                <w:sz w:val="21"/>
                <w:szCs w:val="21"/>
              </w:rPr>
              <w:t xml:space="preserve">Dashboards</w:t>
            </w:r>
          </w:p>
        </w:tc>
        <w:tc>
          <w:tcPr>
            <w:tcW w:type="dxa" w:w="1240"/>
            <w:shd w:fill="E8EDF5" w:val="clear"/>
            <w:tcMar>
              <w:top w:type="dxa" w:w="110"/>
              <w:left w:type="dxa" w:w="130"/>
              <w:bottom w:type="dxa" w:w="110"/>
              <w:right w:type="dxa" w:w="130"/>
            </w:tcMar>
          </w:tcPr>
          <w:p>
            <w:pPr>
              <w:spacing w:after="0" w:line="252"/>
              <w:jc w:val="left"/>
            </w:pPr>
            <w:r>
              <w:rPr>
                <w:b/>
                <w:bCs/>
                <w:sz w:val="21"/>
                <w:szCs w:val="21"/>
              </w:rPr>
              <w:t xml:space="preserve">Manage users</w:t>
            </w:r>
          </w:p>
        </w:tc>
      </w:tr>
      <w:tr>
        <w:trPr>
          <w:cantSplit/>
          <w:tblHeader w:val="false"/>
        </w:trPr>
        <w:tc>
          <w:tcPr>
            <w:tcW w:type="dxa" w:w="1700"/>
            <w:tcMar>
              <w:top w:type="dxa" w:w="110"/>
              <w:left w:type="dxa" w:w="130"/>
              <w:bottom w:type="dxa" w:w="110"/>
              <w:right w:type="dxa" w:w="130"/>
            </w:tcMar>
          </w:tcPr>
          <w:p>
            <w:pPr>
              <w:spacing w:after="0" w:line="252"/>
              <w:jc w:val="left"/>
            </w:pPr>
            <w:r>
              <w:rPr>
                <w:b w:val="false"/>
                <w:bCs w:val="false"/>
                <w:sz w:val="21"/>
                <w:szCs w:val="21"/>
              </w:rPr>
              <w:t xml:space="preserve">Senior</w:t>
            </w:r>
          </w:p>
        </w:tc>
        <w:tc>
          <w:tcPr>
            <w:tcW w:type="dxa" w:w="148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60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60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40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240"/>
            <w:tcMar>
              <w:top w:type="dxa" w:w="110"/>
              <w:left w:type="dxa" w:w="130"/>
              <w:bottom w:type="dxa" w:w="110"/>
              <w:right w:type="dxa" w:w="130"/>
            </w:tcMar>
          </w:tcPr>
          <w:p>
            <w:pPr>
              <w:spacing w:after="0" w:line="252"/>
              <w:jc w:val="left"/>
            </w:pPr>
            <w:r>
              <w:rPr>
                <w:b w:val="false"/>
                <w:bCs w:val="false"/>
                <w:sz w:val="21"/>
                <w:szCs w:val="21"/>
              </w:rPr>
              <w:t xml:space="preserve">Yes</w:t>
            </w:r>
          </w:p>
        </w:tc>
      </w:tr>
      <w:tr>
        <w:trPr>
          <w:cantSplit/>
          <w:tblHeader w:val="false"/>
        </w:trPr>
        <w:tc>
          <w:tcPr>
            <w:tcW w:type="dxa" w:w="1700"/>
            <w:tcMar>
              <w:top w:type="dxa" w:w="110"/>
              <w:left w:type="dxa" w:w="130"/>
              <w:bottom w:type="dxa" w:w="110"/>
              <w:right w:type="dxa" w:w="130"/>
            </w:tcMar>
          </w:tcPr>
          <w:p>
            <w:pPr>
              <w:spacing w:after="0" w:line="252"/>
              <w:jc w:val="left"/>
            </w:pPr>
            <w:r>
              <w:rPr>
                <w:b w:val="false"/>
                <w:bCs w:val="false"/>
                <w:sz w:val="21"/>
                <w:szCs w:val="21"/>
              </w:rPr>
              <w:t xml:space="preserve">Middle</w:t>
            </w:r>
          </w:p>
        </w:tc>
        <w:tc>
          <w:tcPr>
            <w:tcW w:type="dxa" w:w="148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60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600"/>
            <w:tcMar>
              <w:top w:type="dxa" w:w="110"/>
              <w:left w:type="dxa" w:w="130"/>
              <w:bottom w:type="dxa" w:w="110"/>
              <w:right w:type="dxa" w:w="130"/>
            </w:tcMar>
          </w:tcPr>
          <w:p>
            <w:pPr>
              <w:spacing w:after="0" w:line="252"/>
              <w:jc w:val="left"/>
            </w:pPr>
            <w:r>
              <w:rPr>
                <w:b w:val="false"/>
                <w:bCs w:val="false"/>
                <w:sz w:val="21"/>
                <w:szCs w:val="21"/>
              </w:rPr>
              <w:t xml:space="preserve">No</w:t>
            </w:r>
          </w:p>
        </w:tc>
        <w:tc>
          <w:tcPr>
            <w:tcW w:type="dxa" w:w="140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240"/>
            <w:tcMar>
              <w:top w:type="dxa" w:w="110"/>
              <w:left w:type="dxa" w:w="130"/>
              <w:bottom w:type="dxa" w:w="110"/>
              <w:right w:type="dxa" w:w="130"/>
            </w:tcMar>
          </w:tcPr>
          <w:p>
            <w:pPr>
              <w:spacing w:after="0" w:line="252"/>
              <w:jc w:val="left"/>
            </w:pPr>
            <w:r>
              <w:rPr>
                <w:b w:val="false"/>
                <w:bCs w:val="false"/>
                <w:sz w:val="21"/>
                <w:szCs w:val="21"/>
              </w:rPr>
              <w:t xml:space="preserve">No</w:t>
            </w:r>
          </w:p>
        </w:tc>
      </w:tr>
      <w:tr>
        <w:trPr>
          <w:cantSplit/>
          <w:tblHeader w:val="false"/>
        </w:trPr>
        <w:tc>
          <w:tcPr>
            <w:tcW w:type="dxa" w:w="1700"/>
            <w:tcMar>
              <w:top w:type="dxa" w:w="110"/>
              <w:left w:type="dxa" w:w="130"/>
              <w:bottom w:type="dxa" w:w="110"/>
              <w:right w:type="dxa" w:w="130"/>
            </w:tcMar>
          </w:tcPr>
          <w:p>
            <w:pPr>
              <w:spacing w:after="0" w:line="252"/>
              <w:jc w:val="left"/>
            </w:pPr>
            <w:r>
              <w:rPr>
                <w:b w:val="false"/>
                <w:bCs w:val="false"/>
                <w:sz w:val="21"/>
                <w:szCs w:val="21"/>
              </w:rPr>
              <w:t xml:space="preserve">Junior</w:t>
            </w:r>
          </w:p>
        </w:tc>
        <w:tc>
          <w:tcPr>
            <w:tcW w:type="dxa" w:w="1480"/>
            <w:tcMar>
              <w:top w:type="dxa" w:w="110"/>
              <w:left w:type="dxa" w:w="130"/>
              <w:bottom w:type="dxa" w:w="110"/>
              <w:right w:type="dxa" w:w="130"/>
            </w:tcMar>
          </w:tcPr>
          <w:p>
            <w:pPr>
              <w:spacing w:after="0" w:line="252"/>
              <w:jc w:val="left"/>
            </w:pPr>
            <w:r>
              <w:rPr>
                <w:b w:val="false"/>
                <w:bCs w:val="false"/>
                <w:sz w:val="21"/>
                <w:szCs w:val="21"/>
              </w:rPr>
              <w:t xml:space="preserve">Yes</w:t>
            </w:r>
          </w:p>
        </w:tc>
        <w:tc>
          <w:tcPr>
            <w:tcW w:type="dxa" w:w="1600"/>
            <w:tcMar>
              <w:top w:type="dxa" w:w="110"/>
              <w:left w:type="dxa" w:w="130"/>
              <w:bottom w:type="dxa" w:w="110"/>
              <w:right w:type="dxa" w:w="130"/>
            </w:tcMar>
          </w:tcPr>
          <w:p>
            <w:pPr>
              <w:spacing w:after="0" w:line="252"/>
              <w:jc w:val="left"/>
            </w:pPr>
            <w:r>
              <w:rPr>
                <w:b w:val="false"/>
                <w:bCs w:val="false"/>
                <w:sz w:val="21"/>
                <w:szCs w:val="21"/>
              </w:rPr>
              <w:t xml:space="preserve">No</w:t>
            </w:r>
          </w:p>
        </w:tc>
        <w:tc>
          <w:tcPr>
            <w:tcW w:type="dxa" w:w="1600"/>
            <w:tcMar>
              <w:top w:type="dxa" w:w="110"/>
              <w:left w:type="dxa" w:w="130"/>
              <w:bottom w:type="dxa" w:w="110"/>
              <w:right w:type="dxa" w:w="130"/>
            </w:tcMar>
          </w:tcPr>
          <w:p>
            <w:pPr>
              <w:spacing w:after="0" w:line="252"/>
              <w:jc w:val="left"/>
            </w:pPr>
            <w:r>
              <w:rPr>
                <w:b w:val="false"/>
                <w:bCs w:val="false"/>
                <w:sz w:val="21"/>
                <w:szCs w:val="21"/>
              </w:rPr>
              <w:t xml:space="preserve">No</w:t>
            </w:r>
          </w:p>
        </w:tc>
        <w:tc>
          <w:tcPr>
            <w:tcW w:type="dxa" w:w="1400"/>
            <w:tcMar>
              <w:top w:type="dxa" w:w="110"/>
              <w:left w:type="dxa" w:w="130"/>
              <w:bottom w:type="dxa" w:w="110"/>
              <w:right w:type="dxa" w:w="130"/>
            </w:tcMar>
          </w:tcPr>
          <w:p>
            <w:pPr>
              <w:spacing w:after="0" w:line="252"/>
              <w:jc w:val="left"/>
            </w:pPr>
            <w:r>
              <w:rPr>
                <w:b w:val="false"/>
                <w:bCs w:val="false"/>
                <w:sz w:val="21"/>
                <w:szCs w:val="21"/>
              </w:rPr>
              <w:t xml:space="preserve">No</w:t>
            </w:r>
          </w:p>
        </w:tc>
        <w:tc>
          <w:tcPr>
            <w:tcW w:type="dxa" w:w="1240"/>
            <w:tcMar>
              <w:top w:type="dxa" w:w="110"/>
              <w:left w:type="dxa" w:w="130"/>
              <w:bottom w:type="dxa" w:w="110"/>
              <w:right w:type="dxa" w:w="130"/>
            </w:tcMar>
          </w:tcPr>
          <w:p>
            <w:pPr>
              <w:spacing w:after="0" w:line="252"/>
              <w:jc w:val="left"/>
            </w:pPr>
            <w:r>
              <w:rPr>
                <w:b w:val="false"/>
                <w:bCs w:val="false"/>
                <w:sz w:val="21"/>
                <w:szCs w:val="21"/>
              </w:rPr>
              <w:t xml:space="preserve">No</w:t>
            </w:r>
          </w:p>
        </w:tc>
      </w:tr>
    </w:tbl>
    <w:p>
      <w:pPr>
        <w:spacing w:after="220"/>
      </w:pPr>
    </w:p>
    <w:p>
      <w:r>
        <w:br w:type="page"/>
      </w:r>
    </w:p>
    <w:p>
      <w:pPr>
        <w:pStyle w:val="Heading1"/>
        <w:keepNext/>
        <w:spacing w:after="240" w:before="420" w:line="280"/>
      </w:pPr>
      <w:r>
        <w:rPr>
          <w:b/>
          <w:bCs/>
          <w:color w:val="1F3864"/>
          <w:sz w:val="34"/>
          <w:szCs w:val="34"/>
        </w:rPr>
        <w:t xml:space="preserve">Workspaces created on request</w:t>
      </w:r>
    </w:p>
    <w:p>
      <w:pPr>
        <w:spacing w:after="180" w:line="320"/>
        <w:jc w:val="both"/>
      </w:pPr>
      <w:r>
        <w:rPr>
          <w:sz w:val="24"/>
          <w:szCs w:val="24"/>
        </w:rPr>
        <w:t xml:space="preserve">Enterprise and public-sector customers do not use the self-service route. Their commercial terms are agreed first, and the workspace is then created for them. The steps below are the ones actually used to provision such a workspace today.</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700"/>
        <w:gridCol w:w="8320"/>
      </w:tblGrid>
      <w:tr>
        <w:trPr>
          <w:cantSplit/>
          <w:tblHeader/>
        </w:trPr>
        <w:tc>
          <w:tcPr>
            <w:tcW w:type="dxa" w:w="700"/>
            <w:shd w:fill="E8EDF5" w:val="clear"/>
            <w:tcMar>
              <w:top w:type="dxa" w:w="110"/>
              <w:left w:type="dxa" w:w="130"/>
              <w:bottom w:type="dxa" w:w="110"/>
              <w:right w:type="dxa" w:w="130"/>
            </w:tcMar>
          </w:tcPr>
          <w:p>
            <w:pPr>
              <w:spacing w:after="0" w:line="252"/>
              <w:jc w:val="left"/>
            </w:pPr>
            <w:r>
              <w:rPr>
                <w:b/>
                <w:bCs/>
                <w:sz w:val="21"/>
                <w:szCs w:val="21"/>
              </w:rPr>
              <w:t xml:space="preserve"/>
            </w:r>
          </w:p>
        </w:tc>
        <w:tc>
          <w:tcPr>
            <w:tcW w:type="dxa" w:w="8320"/>
            <w:shd w:fill="E8EDF5" w:val="clear"/>
            <w:tcMar>
              <w:top w:type="dxa" w:w="110"/>
              <w:left w:type="dxa" w:w="130"/>
              <w:bottom w:type="dxa" w:w="110"/>
              <w:right w:type="dxa" w:w="130"/>
            </w:tcMar>
          </w:tcPr>
          <w:p>
            <w:pPr>
              <w:spacing w:after="0" w:line="252"/>
              <w:jc w:val="left"/>
            </w:pPr>
            <w:r>
              <w:rPr>
                <w:b/>
                <w:bCs/>
                <w:sz w:val="21"/>
                <w:szCs w:val="21"/>
              </w:rPr>
              <w:t xml:space="preserve">Procedure</w:t>
            </w:r>
          </w:p>
        </w:tc>
      </w:tr>
      <w:tr>
        <w:trPr>
          <w:cantSplit/>
          <w:tblHeader w:val="false"/>
        </w:trPr>
        <w:tc>
          <w:tcPr>
            <w:tcW w:type="dxa" w:w="700"/>
            <w:tcMar>
              <w:top w:type="dxa" w:w="110"/>
              <w:left w:type="dxa" w:w="130"/>
              <w:bottom w:type="dxa" w:w="110"/>
              <w:right w:type="dxa" w:w="130"/>
            </w:tcMar>
          </w:tcPr>
          <w:p>
            <w:pPr>
              <w:spacing w:after="0" w:line="252"/>
              <w:jc w:val="left"/>
            </w:pPr>
            <w:r>
              <w:rPr>
                <w:b w:val="false"/>
                <w:bCs w:val="false"/>
                <w:sz w:val="21"/>
                <w:szCs w:val="21"/>
              </w:rPr>
              <w:t xml:space="preserve">1</w:t>
            </w:r>
          </w:p>
        </w:tc>
        <w:tc>
          <w:tcPr>
            <w:tcW w:type="dxa" w:w="8320"/>
            <w:tcMar>
              <w:top w:type="dxa" w:w="110"/>
              <w:left w:type="dxa" w:w="130"/>
              <w:bottom w:type="dxa" w:w="110"/>
              <w:right w:type="dxa" w:w="130"/>
            </w:tcMar>
          </w:tcPr>
          <w:p>
            <w:pPr>
              <w:spacing w:after="0" w:line="252"/>
              <w:jc w:val="left"/>
            </w:pPr>
            <w:r>
              <w:rPr>
                <w:b w:val="false"/>
                <w:bCs w:val="false"/>
                <w:sz w:val="21"/>
                <w:szCs w:val="21"/>
              </w:rPr>
              <w:t xml:space="preserve">Create the workspace record: organisation name, web address, and the email domains from which colleagues may be invited.</w:t>
            </w:r>
          </w:p>
        </w:tc>
      </w:tr>
      <w:tr>
        <w:trPr>
          <w:cantSplit/>
          <w:tblHeader w:val="false"/>
        </w:trPr>
        <w:tc>
          <w:tcPr>
            <w:tcW w:type="dxa" w:w="700"/>
            <w:tcMar>
              <w:top w:type="dxa" w:w="110"/>
              <w:left w:type="dxa" w:w="130"/>
              <w:bottom w:type="dxa" w:w="110"/>
              <w:right w:type="dxa" w:w="130"/>
            </w:tcMar>
          </w:tcPr>
          <w:p>
            <w:pPr>
              <w:spacing w:after="0" w:line="252"/>
              <w:jc w:val="left"/>
            </w:pPr>
            <w:r>
              <w:rPr>
                <w:b w:val="false"/>
                <w:bCs w:val="false"/>
                <w:sz w:val="21"/>
                <w:szCs w:val="21"/>
              </w:rPr>
              <w:t xml:space="preserve">2</w:t>
            </w:r>
          </w:p>
        </w:tc>
        <w:tc>
          <w:tcPr>
            <w:tcW w:type="dxa" w:w="8320"/>
            <w:tcMar>
              <w:top w:type="dxa" w:w="110"/>
              <w:left w:type="dxa" w:w="130"/>
              <w:bottom w:type="dxa" w:w="110"/>
              <w:right w:type="dxa" w:w="130"/>
            </w:tcMar>
          </w:tcPr>
          <w:p>
            <w:pPr>
              <w:spacing w:after="0" w:line="252"/>
              <w:jc w:val="left"/>
            </w:pPr>
            <w:r>
              <w:rPr>
                <w:b w:val="false"/>
                <w:bCs w:val="false"/>
                <w:sz w:val="21"/>
                <w:szCs w:val="21"/>
              </w:rPr>
              <w:t xml:space="preserve">Create or identify the administrator’s account for the agreed contact address.</w:t>
            </w:r>
          </w:p>
        </w:tc>
      </w:tr>
      <w:tr>
        <w:trPr>
          <w:cantSplit/>
          <w:tblHeader w:val="false"/>
        </w:trPr>
        <w:tc>
          <w:tcPr>
            <w:tcW w:type="dxa" w:w="700"/>
            <w:tcMar>
              <w:top w:type="dxa" w:w="110"/>
              <w:left w:type="dxa" w:w="130"/>
              <w:bottom w:type="dxa" w:w="110"/>
              <w:right w:type="dxa" w:w="130"/>
            </w:tcMar>
          </w:tcPr>
          <w:p>
            <w:pPr>
              <w:spacing w:after="0" w:line="252"/>
              <w:jc w:val="left"/>
            </w:pPr>
            <w:r>
              <w:rPr>
                <w:b w:val="false"/>
                <w:bCs w:val="false"/>
                <w:sz w:val="21"/>
                <w:szCs w:val="21"/>
              </w:rPr>
              <w:t xml:space="preserve">3</w:t>
            </w:r>
          </w:p>
        </w:tc>
        <w:tc>
          <w:tcPr>
            <w:tcW w:type="dxa" w:w="8320"/>
            <w:tcMar>
              <w:top w:type="dxa" w:w="110"/>
              <w:left w:type="dxa" w:w="130"/>
              <w:bottom w:type="dxa" w:w="110"/>
              <w:right w:type="dxa" w:w="130"/>
            </w:tcMar>
          </w:tcPr>
          <w:p>
            <w:pPr>
              <w:spacing w:after="0" w:line="252"/>
              <w:jc w:val="left"/>
            </w:pPr>
            <w:r>
              <w:rPr>
                <w:b w:val="false"/>
                <w:bCs w:val="false"/>
                <w:sz w:val="21"/>
                <w:szCs w:val="21"/>
              </w:rPr>
              <w:t xml:space="preserve">Attach that account to the workspace as a Senior user.</w:t>
            </w:r>
          </w:p>
        </w:tc>
      </w:tr>
      <w:tr>
        <w:trPr>
          <w:cantSplit/>
          <w:tblHeader w:val="false"/>
        </w:trPr>
        <w:tc>
          <w:tcPr>
            <w:tcW w:type="dxa" w:w="700"/>
            <w:tcMar>
              <w:top w:type="dxa" w:w="110"/>
              <w:left w:type="dxa" w:w="130"/>
              <w:bottom w:type="dxa" w:w="110"/>
              <w:right w:type="dxa" w:w="130"/>
            </w:tcMar>
          </w:tcPr>
          <w:p>
            <w:pPr>
              <w:spacing w:after="0" w:line="252"/>
              <w:jc w:val="left"/>
            </w:pPr>
            <w:r>
              <w:rPr>
                <w:b w:val="false"/>
                <w:bCs w:val="false"/>
                <w:sz w:val="21"/>
                <w:szCs w:val="21"/>
              </w:rPr>
              <w:t xml:space="preserve">4</w:t>
            </w:r>
          </w:p>
        </w:tc>
        <w:tc>
          <w:tcPr>
            <w:tcW w:type="dxa" w:w="8320"/>
            <w:tcMar>
              <w:top w:type="dxa" w:w="110"/>
              <w:left w:type="dxa" w:w="130"/>
              <w:bottom w:type="dxa" w:w="110"/>
              <w:right w:type="dxa" w:w="130"/>
            </w:tcMar>
          </w:tcPr>
          <w:p>
            <w:pPr>
              <w:spacing w:after="0" w:line="252"/>
              <w:jc w:val="left"/>
            </w:pPr>
            <w:r>
              <w:rPr>
                <w:b w:val="false"/>
                <w:bCs w:val="false"/>
                <w:sz w:val="21"/>
                <w:szCs w:val="21"/>
              </w:rPr>
              <w:t xml:space="preserve">Issue a set-password link to the administrator, who then invites the rest of their team themselves.</w:t>
            </w:r>
          </w:p>
        </w:tc>
      </w:tr>
    </w:tbl>
    <w:p>
      <w:pPr>
        <w:spacing w:after="220"/>
      </w:pPr>
    </w:p>
    <w:p>
      <w:pPr>
        <w:spacing w:after="180" w:line="320"/>
        <w:jc w:val="both"/>
      </w:pPr>
      <w:r>
        <w:rPr>
          <w:b/>
          <w:bCs/>
          <w:sz w:val="24"/>
          <w:szCs w:val="24"/>
        </w:rPr>
        <w:t xml:space="preserve">Why a set-password link rather than an invitation. </w:t>
      </w:r>
      <w:r>
        <w:rPr>
          <w:sz w:val="24"/>
          <w:szCs w:val="24"/>
        </w:rPr>
        <w:t xml:space="preserve">An invitation can only be issued to an address that has no account. Where an address has been invited before — including an invitation that was never completed — the account already exists and a fresh invitation is refused. A set-password link reaches the same destination and works in either case, so it is the more reliable instrument.</w:t>
      </w:r>
    </w:p>
    <w:p>
      <w:pPr>
        <w:spacing w:after="180" w:line="320"/>
        <w:jc w:val="both"/>
      </w:pPr>
      <w:r>
        <w:rPr>
          <w:b/>
          <w:bCs/>
          <w:sz w:val="24"/>
          <w:szCs w:val="24"/>
        </w:rPr>
        <w:t xml:space="preserve">A note on invitation links and mail filters. </w:t>
      </w:r>
      <w:r>
        <w:rPr>
          <w:sz w:val="24"/>
          <w:szCs w:val="24"/>
        </w:rPr>
        <w:t xml:space="preserve">Invitation and password links are single-use. Corporate mail security systems routinely open links in incoming messages to inspect them, which would previously consume a link before its recipient ever clicked it, leaving them with an expired-link error. Links now pass through an intermediate page that requires a deliberate click, so an automated inspection no longer consumes them.</w:t>
      </w:r>
    </w:p>
    <w:p>
      <w:pPr>
        <w:pStyle w:val="Heading2"/>
        <w:keepNext/>
        <w:spacing w:after="180" w:before="380" w:line="280"/>
      </w:pPr>
      <w:r>
        <w:rPr>
          <w:b/>
          <w:bCs/>
          <w:color w:val="000000"/>
          <w:sz w:val="28"/>
          <w:szCs w:val="28"/>
        </w:rPr>
        <w:t xml:space="preserve">Current limitations</w:t>
      </w:r>
    </w:p>
    <w:p>
      <w:pPr>
        <w:spacing w:after="180" w:line="320"/>
        <w:jc w:val="both"/>
      </w:pPr>
      <w:r>
        <w:rPr>
          <w:sz w:val="24"/>
          <w:szCs w:val="24"/>
        </w:rPr>
        <w:t xml:space="preserve">Stated so expectations are set in advance.</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500"/>
        <w:gridCol w:w="6520"/>
      </w:tblGrid>
      <w:tr>
        <w:trPr>
          <w:cantSplit/>
          <w:tblHeader/>
        </w:trPr>
        <w:tc>
          <w:tcPr>
            <w:tcW w:type="dxa" w:w="2500"/>
            <w:shd w:fill="E8EDF5" w:val="clear"/>
            <w:tcMar>
              <w:top w:type="dxa" w:w="110"/>
              <w:left w:type="dxa" w:w="130"/>
              <w:bottom w:type="dxa" w:w="110"/>
              <w:right w:type="dxa" w:w="130"/>
            </w:tcMar>
          </w:tcPr>
          <w:p>
            <w:pPr>
              <w:spacing w:after="0" w:line="252"/>
              <w:jc w:val="left"/>
            </w:pPr>
            <w:r>
              <w:rPr>
                <w:b/>
                <w:bCs/>
                <w:sz w:val="21"/>
                <w:szCs w:val="21"/>
              </w:rPr>
              <w:t xml:space="preserve">Area</w:t>
            </w:r>
          </w:p>
        </w:tc>
        <w:tc>
          <w:tcPr>
            <w:tcW w:type="dxa" w:w="6520"/>
            <w:shd w:fill="E8EDF5" w:val="clear"/>
            <w:tcMar>
              <w:top w:type="dxa" w:w="110"/>
              <w:left w:type="dxa" w:w="130"/>
              <w:bottom w:type="dxa" w:w="110"/>
              <w:right w:type="dxa" w:w="130"/>
            </w:tcMar>
          </w:tcPr>
          <w:p>
            <w:pPr>
              <w:spacing w:after="0" w:line="252"/>
              <w:jc w:val="left"/>
            </w:pPr>
            <w:r>
              <w:rPr>
                <w:b/>
                <w:bCs/>
                <w:sz w:val="21"/>
                <w:szCs w:val="21"/>
              </w:rPr>
              <w:t xml:space="preserve">Position today</w:t>
            </w:r>
          </w:p>
        </w:tc>
      </w:tr>
      <w:tr>
        <w:trPr>
          <w:cantSplit/>
          <w:tblHeader w:val="false"/>
        </w:trPr>
        <w:tc>
          <w:tcPr>
            <w:tcW w:type="dxa" w:w="2500"/>
            <w:tcMar>
              <w:top w:type="dxa" w:w="110"/>
              <w:left w:type="dxa" w:w="130"/>
              <w:bottom w:type="dxa" w:w="110"/>
              <w:right w:type="dxa" w:w="130"/>
            </w:tcMar>
          </w:tcPr>
          <w:p>
            <w:pPr>
              <w:spacing w:after="0" w:line="252"/>
              <w:jc w:val="left"/>
            </w:pPr>
            <w:r>
              <w:rPr>
                <w:b w:val="false"/>
                <w:bCs w:val="false"/>
                <w:sz w:val="21"/>
                <w:szCs w:val="21"/>
              </w:rPr>
              <w:t xml:space="preserve">Payment</w:t>
            </w:r>
          </w:p>
        </w:tc>
        <w:tc>
          <w:tcPr>
            <w:tcW w:type="dxa" w:w="6520"/>
            <w:tcMar>
              <w:top w:type="dxa" w:w="110"/>
              <w:left w:type="dxa" w:w="130"/>
              <w:bottom w:type="dxa" w:w="110"/>
              <w:right w:type="dxa" w:w="130"/>
            </w:tcMar>
          </w:tcPr>
          <w:p>
            <w:pPr>
              <w:spacing w:after="0" w:line="252"/>
              <w:jc w:val="left"/>
            </w:pPr>
            <w:r>
              <w:rPr>
                <w:b w:val="false"/>
                <w:bCs w:val="false"/>
                <w:sz w:val="21"/>
                <w:szCs w:val="21"/>
              </w:rPr>
              <w:t xml:space="preserve">No payment or approval step. A completed sign-up produces an immediately usable workspace.</w:t>
            </w:r>
          </w:p>
        </w:tc>
      </w:tr>
      <w:tr>
        <w:trPr>
          <w:cantSplit/>
          <w:tblHeader w:val="false"/>
        </w:trPr>
        <w:tc>
          <w:tcPr>
            <w:tcW w:type="dxa" w:w="2500"/>
            <w:tcMar>
              <w:top w:type="dxa" w:w="110"/>
              <w:left w:type="dxa" w:w="130"/>
              <w:bottom w:type="dxa" w:w="110"/>
              <w:right w:type="dxa" w:w="130"/>
            </w:tcMar>
          </w:tcPr>
          <w:p>
            <w:pPr>
              <w:spacing w:after="0" w:line="252"/>
              <w:jc w:val="left"/>
            </w:pPr>
            <w:r>
              <w:rPr>
                <w:b w:val="false"/>
                <w:bCs w:val="false"/>
                <w:sz w:val="21"/>
                <w:szCs w:val="21"/>
              </w:rPr>
              <w:t xml:space="preserve">Administrative creation</w:t>
            </w:r>
          </w:p>
        </w:tc>
        <w:tc>
          <w:tcPr>
            <w:tcW w:type="dxa" w:w="6520"/>
            <w:tcMar>
              <w:top w:type="dxa" w:w="110"/>
              <w:left w:type="dxa" w:w="130"/>
              <w:bottom w:type="dxa" w:w="110"/>
              <w:right w:type="dxa" w:w="130"/>
            </w:tcMar>
          </w:tcPr>
          <w:p>
            <w:pPr>
              <w:spacing w:after="0" w:line="252"/>
              <w:jc w:val="left"/>
            </w:pPr>
            <w:r>
              <w:rPr>
                <w:b w:val="false"/>
                <w:bCs w:val="false"/>
                <w:sz w:val="21"/>
                <w:szCs w:val="21"/>
              </w:rPr>
              <w:t xml:space="preserve">No interface for creating a workspace on a customer’s behalf; it is done directly against the platform records. The platform administration screen lists workspaces but does not create them.</w:t>
            </w:r>
          </w:p>
        </w:tc>
      </w:tr>
      <w:tr>
        <w:trPr>
          <w:cantSplit/>
          <w:tblHeader w:val="false"/>
        </w:trPr>
        <w:tc>
          <w:tcPr>
            <w:tcW w:type="dxa" w:w="2500"/>
            <w:tcMar>
              <w:top w:type="dxa" w:w="110"/>
              <w:left w:type="dxa" w:w="130"/>
              <w:bottom w:type="dxa" w:w="110"/>
              <w:right w:type="dxa" w:w="130"/>
            </w:tcMar>
          </w:tcPr>
          <w:p>
            <w:pPr>
              <w:spacing w:after="0" w:line="252"/>
              <w:jc w:val="left"/>
            </w:pPr>
            <w:r>
              <w:rPr>
                <w:b w:val="false"/>
                <w:bCs w:val="false"/>
                <w:sz w:val="21"/>
                <w:szCs w:val="21"/>
              </w:rPr>
              <w:t xml:space="preserve">Plan assignment</w:t>
            </w:r>
          </w:p>
        </w:tc>
        <w:tc>
          <w:tcPr>
            <w:tcW w:type="dxa" w:w="6520"/>
            <w:tcMar>
              <w:top w:type="dxa" w:w="110"/>
              <w:left w:type="dxa" w:w="130"/>
              <w:bottom w:type="dxa" w:w="110"/>
              <w:right w:type="dxa" w:w="130"/>
            </w:tcMar>
          </w:tcPr>
          <w:p>
            <w:pPr>
              <w:spacing w:after="0" w:line="252"/>
              <w:jc w:val="left"/>
            </w:pPr>
            <w:r>
              <w:rPr>
                <w:b w:val="false"/>
                <w:bCs w:val="false"/>
                <w:sz w:val="21"/>
                <w:szCs w:val="21"/>
              </w:rPr>
              <w:t xml:space="preserve">Every workspace begins on Starter. A different plan is applied afterwards.</w:t>
            </w:r>
          </w:p>
        </w:tc>
      </w:tr>
      <w:tr>
        <w:trPr>
          <w:cantSplit/>
          <w:tblHeader w:val="false"/>
        </w:trPr>
        <w:tc>
          <w:tcPr>
            <w:tcW w:type="dxa" w:w="2500"/>
            <w:tcMar>
              <w:top w:type="dxa" w:w="110"/>
              <w:left w:type="dxa" w:w="130"/>
              <w:bottom w:type="dxa" w:w="110"/>
              <w:right w:type="dxa" w:w="130"/>
            </w:tcMar>
          </w:tcPr>
          <w:p>
            <w:pPr>
              <w:spacing w:after="0" w:line="252"/>
              <w:jc w:val="left"/>
            </w:pPr>
            <w:r>
              <w:rPr>
                <w:b w:val="false"/>
                <w:bCs w:val="false"/>
                <w:sz w:val="21"/>
                <w:szCs w:val="21"/>
              </w:rPr>
              <w:t xml:space="preserve">Approval</w:t>
            </w:r>
          </w:p>
        </w:tc>
        <w:tc>
          <w:tcPr>
            <w:tcW w:type="dxa" w:w="6520"/>
            <w:tcMar>
              <w:top w:type="dxa" w:w="110"/>
              <w:left w:type="dxa" w:w="130"/>
              <w:bottom w:type="dxa" w:w="110"/>
              <w:right w:type="dxa" w:w="130"/>
            </w:tcMar>
          </w:tcPr>
          <w:p>
            <w:pPr>
              <w:spacing w:after="0" w:line="252"/>
              <w:jc w:val="left"/>
            </w:pPr>
            <w:r>
              <w:rPr>
                <w:b w:val="false"/>
                <w:bCs w:val="false"/>
                <w:sz w:val="21"/>
                <w:szCs w:val="21"/>
              </w:rPr>
              <w:t xml:space="preserve">No review stage between sign-up and a working workspace.</w:t>
            </w:r>
          </w:p>
        </w:tc>
      </w:tr>
    </w:tbl>
    <w:p>
      <w:pPr>
        <w:spacing w:after="220"/>
      </w:pPr>
    </w:p>
    <w:p>
      <w:pPr>
        <w:spacing w:after="180" w:line="320"/>
        <w:jc w:val="both"/>
      </w:pPr>
      <w:r>
        <w:rPr>
          <w:sz w:val="24"/>
          <w:szCs w:val="24"/>
        </w:rPr>
        <w:t xml:space="preserve">Each of these is addressed by the subscription work now in progress, which introduces workspace states — awaiting payment, active, past due, suspended — and the ability to activate a workspace against an invoice for customers who do not pay by card.</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80"/>
      <w:jc w:val="center"/>
    </w:pPr>
    <w:r>
      <w:rPr>
        <w:rFonts w:ascii="Times New Roman" w:cs="Times New Roman" w:eastAsia="Times New Roman" w:hAnsi="Times New Roman"/>
        <w:color w:val="4A4A4A"/>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f680d63fbaeda6341e4b444450f10e0ced25652.png"/><Relationship Id="rId10" Type="http://schemas.openxmlformats.org/officeDocument/2006/relationships/image" Target="media/ecb0a47650ad39d2045ac5123490bb9c1e8b662b.png"/><Relationship Id="rId11" Type="http://schemas.openxmlformats.org/officeDocument/2006/relationships/image" Target="media/75d2c4886e10730fcbf37420e54d1895f986aaa9.png"/><Relationship Id="rId12" Type="http://schemas.openxmlformats.org/officeDocument/2006/relationships/image" Target="media/47fd0589e805275c987a56bc5cef127377a99832.png"/><Relationship Id="rId13" Type="http://schemas.openxmlformats.org/officeDocument/2006/relationships/image" Target="media/1b77f85170146d7648cfb4e0467b62bef3945c21.png"/><Relationship Id="rId14" Type="http://schemas.openxmlformats.org/officeDocument/2006/relationships/image" Target="media/0625714e0c64ae44b74e6a35a21ba0f791d246aa.png"/><Relationship Id="rId15" Type="http://schemas.openxmlformats.org/officeDocument/2006/relationships/image" Target="media/1d54d2bfb3e283349e0e819819801ce6d5ba01b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2026-10-22T13:28:34.502Z</dcterms:created>
  <dcterms:modified xsi:type="dcterms:W3CDTF">2026-10-22T13:28:34.513Z</dcterms:modified>
</cp:coreProperties>
</file>

<file path=docProps/custom.xml><?xml version="1.0" encoding="utf-8"?>
<Properties xmlns="http://schemas.openxmlformats.org/officeDocument/2006/custom-properties" xmlns:vt="http://schemas.openxmlformats.org/officeDocument/2006/docPropsVTypes"/>
</file>