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jc w:val="center"/>
      </w:pPr>
      <w:r>
        <w:rPr>
          <w:b/>
          <w:bCs/>
          <w:color w:val="1F3864"/>
          <w:sz w:val="64"/>
          <w:szCs w:val="64"/>
        </w:rPr>
        <w:t xml:space="preserve">NYANSA AI</w:t>
      </w:r>
    </w:p>
    <w:p>
      <w:pPr>
        <w:spacing w:after="700"/>
        <w:jc w:val="center"/>
      </w:pPr>
      <w:r>
        <w:rPr>
          <w:i/>
          <w:iCs/>
          <w:color w:val="4A4A4A"/>
          <w:sz w:val="28"/>
          <w:szCs w:val="28"/>
        </w:rPr>
        <w:t xml:space="preserve">Enterprise Document Intelligence</w:t>
      </w:r>
    </w:p>
    <w:p>
      <w:pPr>
        <w:spacing w:after="240"/>
        <w:jc w:val="center"/>
      </w:pPr>
      <w:r>
        <w:rPr>
          <w:b/>
          <w:bCs/>
          <w:sz w:val="40"/>
          <w:szCs w:val="40"/>
        </w:rPr>
        <w:t xml:space="preserve">User Manual</w:t>
      </w:r>
    </w:p>
    <w:p>
      <w:pPr>
        <w:spacing w:after="240"/>
        <w:jc w:val="center"/>
      </w:pPr>
      <w:r>
        <w:rPr>
          <w:color w:val="4A4A4A"/>
          <w:sz w:val="32"/>
          <w:szCs w:val="32"/>
        </w:rPr>
        <w:t xml:space="preserve">&amp;</w:t>
      </w:r>
    </w:p>
    <w:p>
      <w:pPr>
        <w:spacing w:after="800"/>
        <w:jc w:val="center"/>
      </w:pPr>
      <w:r>
        <w:rPr>
          <w:b/>
          <w:bCs/>
          <w:sz w:val="40"/>
          <w:szCs w:val="40"/>
        </w:rPr>
        <w:t xml:space="preserve">Data Protection Overview</w:t>
      </w:r>
    </w:p>
    <w:p>
      <w:pPr>
        <w:spacing w:after="0"/>
        <w:jc w:val="center"/>
      </w:pPr>
      <w:r>
        <w:rPr>
          <w:color w:val="4A4A4A"/>
          <w:sz w:val="28"/>
          <w:szCs w:val="28"/>
        </w:rPr>
        <w:t xml:space="preserve">26 September 2026</w:t>
      </w:r>
    </w:p>
    <w:p>
      <w:r>
        <w:br w:type="page"/>
      </w:r>
    </w:p>
    <w:p>
      <w:pPr>
        <w:pStyle w:val="Heading1"/>
        <w:keepNext/>
        <w:spacing w:after="280" w:before="480" w:line="300"/>
      </w:pPr>
      <w:r>
        <w:rPr>
          <w:b/>
          <w:bCs/>
          <w:color w:val="1F3864"/>
          <w:sz w:val="40"/>
          <w:szCs w:val="40"/>
        </w:rPr>
        <w:t xml:space="preserve">Part 1 — User Manual</w:t>
      </w:r>
    </w:p>
    <w:p>
      <w:pPr>
        <w:spacing w:after="200" w:line="360"/>
        <w:jc w:val="both"/>
      </w:pPr>
      <w:r>
        <w:rPr>
          <w:sz w:val="28"/>
          <w:szCs w:val="28"/>
        </w:rPr>
        <w:t xml:space="preserve">Nyansa AI turns your organisation’s documents into a searchable knowledge base that answers questions in plain English, citing the source document and page for every answer.</w:t>
      </w:r>
    </w:p>
    <w:p>
      <w:pPr>
        <w:pStyle w:val="Heading2"/>
        <w:keepNext/>
        <w:spacing w:after="200" w:before="400" w:line="300"/>
      </w:pPr>
      <w:r>
        <w:rPr>
          <w:b/>
          <w:bCs/>
          <w:color w:val="000000"/>
          <w:sz w:val="32"/>
          <w:szCs w:val="32"/>
        </w:rPr>
        <w:t xml:space="preserve">Signing in</w:t>
      </w:r>
    </w:p>
    <w:p>
      <w:pPr>
        <w:spacing w:after="200" w:line="360"/>
        <w:jc w:val="both"/>
      </w:pPr>
      <w:r>
        <w:rPr>
          <w:sz w:val="28"/>
          <w:szCs w:val="28"/>
        </w:rPr>
        <w:t xml:space="preserve">Your organisation has its own address, for example yourorganisation.nyansaai.com. Sign in there with your email address and password.</w:t>
      </w:r>
    </w:p>
    <w:p>
      <w:pPr>
        <w:spacing w:after="200" w:line="360"/>
        <w:jc w:val="both"/>
      </w:pPr>
      <w:r>
        <w:rPr>
          <w:sz w:val="28"/>
          <w:szCs w:val="28"/>
        </w:rPr>
        <w:t xml:space="preserve">If you were invited, you will have received an email link to set your own password. Administrators never see or set user passwords.</w:t>
      </w:r>
    </w:p>
    <w:p>
      <w:pPr>
        <w:spacing w:after="200" w:line="360"/>
        <w:jc w:val="both"/>
      </w:pPr>
      <w:r>
        <w:rPr>
          <w:sz w:val="28"/>
          <w:szCs w:val="28"/>
        </w:rPr>
        <w:t xml:space="preserve">Two-factor authentication is optional, available under Settings → Security in two forms:</w:t>
      </w:r>
    </w:p>
    <w:p>
      <w:pPr>
        <w:pStyle w:val="ListParagraph"/>
        <w:numPr>
          <w:ilvl w:val="0"/>
          <w:numId w:val="2"/>
        </w:numPr>
        <w:spacing w:after="140" w:line="360"/>
        <w:jc w:val="left"/>
      </w:pPr>
      <w:r>
        <w:rPr>
          <w:sz w:val="28"/>
          <w:szCs w:val="28"/>
        </w:rPr>
        <w:t xml:space="preserve">Authenticator app — a rotating code from Google Authenticator, Authy or similar.</w:t>
      </w:r>
    </w:p>
    <w:p>
      <w:pPr>
        <w:pStyle w:val="ListParagraph"/>
        <w:numPr>
          <w:ilvl w:val="0"/>
          <w:numId w:val="2"/>
        </w:numPr>
        <w:spacing w:after="140" w:line="360"/>
        <w:jc w:val="left"/>
      </w:pPr>
      <w:r>
        <w:rPr>
          <w:sz w:val="28"/>
          <w:szCs w:val="28"/>
        </w:rPr>
        <w:t xml:space="preserve">Email code — a six-digit code sent to your address, valid for 10 minutes.</w:t>
      </w:r>
    </w:p>
    <w:p>
      <w:pPr>
        <w:pStyle w:val="Heading2"/>
        <w:keepNext/>
        <w:spacing w:after="200" w:before="400" w:line="300"/>
      </w:pPr>
      <w:r>
        <w:rPr>
          <w:b/>
          <w:bCs/>
          <w:color w:val="000000"/>
          <w:sz w:val="32"/>
          <w:szCs w:val="32"/>
        </w:rPr>
        <w:t xml:space="preserve">Roles</w:t>
      </w:r>
    </w:p>
    <w:p>
      <w:pPr>
        <w:spacing w:after="200" w:line="360"/>
        <w:jc w:val="both"/>
      </w:pPr>
      <w:r>
        <w:rPr>
          <w:sz w:val="28"/>
          <w:szCs w:val="28"/>
        </w:rPr>
        <w:t xml:space="preserve">Your role determines what you can do. Permissions are enforced on the server for every request, not merely hidden in the interface.</w:t>
      </w:r>
    </w:p>
    <w:tbl>
      <w:tblPr>
        <w:tblW w:type="dxa" w:w="9020"/>
        <w:tblBorders>
          <w:top w:val="single" w:color="9AA5B4" w:sz="4"/>
          <w:left w:val="single" w:color="9AA5B4" w:sz="4"/>
          <w:bottom w:val="single" w:color="9AA5B4" w:sz="4"/>
          <w:right w:val="single" w:color="9AA5B4" w:sz="4"/>
          <w:insideH w:val="single" w:color="C3CBD6" w:sz="2"/>
          <w:insideV w:val="single" w:color="C3CBD6" w:sz="2"/>
        </w:tblBorders>
      </w:tblPr>
      <w:tblGrid>
        <w:gridCol w:w="1640"/>
        <w:gridCol w:w="1500"/>
        <w:gridCol w:w="1620"/>
        <w:gridCol w:w="1620"/>
        <w:gridCol w:w="1420"/>
        <w:gridCol w:w="1220"/>
      </w:tblGrid>
      <w:tr>
        <w:trPr>
          <w:cantSplit/>
          <w:tblHeader/>
        </w:trPr>
        <w:tc>
          <w:tcPr>
            <w:tcW w:type="dxa" w:w="1640"/>
            <w:shd w:fill="E8EDF5" w:val="clear"/>
            <w:tcMar>
              <w:top w:type="dxa" w:w="120"/>
              <w:left w:type="dxa" w:w="140"/>
              <w:bottom w:type="dxa" w:w="120"/>
              <w:right w:type="dxa" w:w="140"/>
            </w:tcMar>
          </w:tcPr>
          <w:p>
            <w:pPr>
              <w:spacing w:after="0" w:line="264"/>
              <w:jc w:val="left"/>
            </w:pPr>
            <w:r>
              <w:rPr>
                <w:b/>
                <w:bCs/>
                <w:sz w:val="24"/>
                <w:szCs w:val="24"/>
              </w:rPr>
              <w:t xml:space="preserve">Role</w:t>
            </w:r>
          </w:p>
        </w:tc>
        <w:tc>
          <w:tcPr>
            <w:tcW w:type="dxa" w:w="1500"/>
            <w:shd w:fill="E8EDF5" w:val="clear"/>
            <w:tcMar>
              <w:top w:type="dxa" w:w="120"/>
              <w:left w:type="dxa" w:w="140"/>
              <w:bottom w:type="dxa" w:w="120"/>
              <w:right w:type="dxa" w:w="140"/>
            </w:tcMar>
          </w:tcPr>
          <w:p>
            <w:pPr>
              <w:spacing w:after="0" w:line="264"/>
              <w:jc w:val="left"/>
            </w:pPr>
            <w:r>
              <w:rPr>
                <w:b/>
                <w:bCs/>
                <w:sz w:val="24"/>
                <w:szCs w:val="24"/>
              </w:rPr>
              <w:t xml:space="preserve">Ask questions</w:t>
            </w:r>
          </w:p>
        </w:tc>
        <w:tc>
          <w:tcPr>
            <w:tcW w:type="dxa" w:w="1620"/>
            <w:shd w:fill="E8EDF5" w:val="clear"/>
            <w:tcMar>
              <w:top w:type="dxa" w:w="120"/>
              <w:left w:type="dxa" w:w="140"/>
              <w:bottom w:type="dxa" w:w="120"/>
              <w:right w:type="dxa" w:w="140"/>
            </w:tcMar>
          </w:tcPr>
          <w:p>
            <w:pPr>
              <w:spacing w:after="0" w:line="264"/>
              <w:jc w:val="left"/>
            </w:pPr>
            <w:r>
              <w:rPr>
                <w:b/>
                <w:bCs/>
                <w:sz w:val="24"/>
                <w:szCs w:val="24"/>
              </w:rPr>
              <w:t xml:space="preserve">Upload documents</w:t>
            </w:r>
          </w:p>
        </w:tc>
        <w:tc>
          <w:tcPr>
            <w:tcW w:type="dxa" w:w="1620"/>
            <w:shd w:fill="E8EDF5" w:val="clear"/>
            <w:tcMar>
              <w:top w:type="dxa" w:w="120"/>
              <w:left w:type="dxa" w:w="140"/>
              <w:bottom w:type="dxa" w:w="120"/>
              <w:right w:type="dxa" w:w="140"/>
            </w:tcMar>
          </w:tcPr>
          <w:p>
            <w:pPr>
              <w:spacing w:after="0" w:line="264"/>
              <w:jc w:val="left"/>
            </w:pPr>
            <w:r>
              <w:rPr>
                <w:b/>
                <w:bCs/>
                <w:sz w:val="24"/>
                <w:szCs w:val="24"/>
              </w:rPr>
              <w:t xml:space="preserve">Delete documents</w:t>
            </w:r>
          </w:p>
        </w:tc>
        <w:tc>
          <w:tcPr>
            <w:tcW w:type="dxa" w:w="1420"/>
            <w:shd w:fill="E8EDF5" w:val="clear"/>
            <w:tcMar>
              <w:top w:type="dxa" w:w="120"/>
              <w:left w:type="dxa" w:w="140"/>
              <w:bottom w:type="dxa" w:w="120"/>
              <w:right w:type="dxa" w:w="140"/>
            </w:tcMar>
          </w:tcPr>
          <w:p>
            <w:pPr>
              <w:spacing w:after="0" w:line="264"/>
              <w:jc w:val="left"/>
            </w:pPr>
            <w:r>
              <w:rPr>
                <w:b/>
                <w:bCs/>
                <w:sz w:val="24"/>
                <w:szCs w:val="24"/>
              </w:rPr>
              <w:t xml:space="preserve">Dashboards</w:t>
            </w:r>
          </w:p>
        </w:tc>
        <w:tc>
          <w:tcPr>
            <w:tcW w:type="dxa" w:w="1220"/>
            <w:shd w:fill="E8EDF5" w:val="clear"/>
            <w:tcMar>
              <w:top w:type="dxa" w:w="120"/>
              <w:left w:type="dxa" w:w="140"/>
              <w:bottom w:type="dxa" w:w="120"/>
              <w:right w:type="dxa" w:w="140"/>
            </w:tcMar>
          </w:tcPr>
          <w:p>
            <w:pPr>
              <w:spacing w:after="0" w:line="264"/>
              <w:jc w:val="left"/>
            </w:pPr>
            <w:r>
              <w:rPr>
                <w:b/>
                <w:bCs/>
                <w:sz w:val="24"/>
                <w:szCs w:val="24"/>
              </w:rPr>
              <w:t xml:space="preserve">Manage users</w:t>
            </w:r>
          </w:p>
        </w:tc>
      </w:tr>
      <w:tr>
        <w:trPr>
          <w:cantSplit/>
          <w:tblHeader w:val="false"/>
        </w:trPr>
        <w:tc>
          <w:tcPr>
            <w:tcW w:type="dxa" w:w="1640"/>
            <w:tcMar>
              <w:top w:type="dxa" w:w="120"/>
              <w:left w:type="dxa" w:w="140"/>
              <w:bottom w:type="dxa" w:w="120"/>
              <w:right w:type="dxa" w:w="140"/>
            </w:tcMar>
          </w:tcPr>
          <w:p>
            <w:pPr>
              <w:spacing w:after="0" w:line="264"/>
              <w:jc w:val="left"/>
            </w:pPr>
            <w:r>
              <w:rPr>
                <w:b w:val="false"/>
                <w:bCs w:val="false"/>
                <w:sz w:val="24"/>
                <w:szCs w:val="24"/>
              </w:rPr>
              <w:t xml:space="preserve">Senior</w:t>
            </w:r>
          </w:p>
        </w:tc>
        <w:tc>
          <w:tcPr>
            <w:tcW w:type="dxa" w:w="150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62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62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42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220"/>
            <w:tcMar>
              <w:top w:type="dxa" w:w="120"/>
              <w:left w:type="dxa" w:w="140"/>
              <w:bottom w:type="dxa" w:w="120"/>
              <w:right w:type="dxa" w:w="140"/>
            </w:tcMar>
          </w:tcPr>
          <w:p>
            <w:pPr>
              <w:spacing w:after="0" w:line="264"/>
              <w:jc w:val="left"/>
            </w:pPr>
            <w:r>
              <w:rPr>
                <w:b w:val="false"/>
                <w:bCs w:val="false"/>
                <w:sz w:val="24"/>
                <w:szCs w:val="24"/>
              </w:rPr>
              <w:t xml:space="preserve">Yes</w:t>
            </w:r>
          </w:p>
        </w:tc>
      </w:tr>
      <w:tr>
        <w:trPr>
          <w:cantSplit/>
          <w:tblHeader w:val="false"/>
        </w:trPr>
        <w:tc>
          <w:tcPr>
            <w:tcW w:type="dxa" w:w="1640"/>
            <w:tcMar>
              <w:top w:type="dxa" w:w="120"/>
              <w:left w:type="dxa" w:w="140"/>
              <w:bottom w:type="dxa" w:w="120"/>
              <w:right w:type="dxa" w:w="140"/>
            </w:tcMar>
          </w:tcPr>
          <w:p>
            <w:pPr>
              <w:spacing w:after="0" w:line="264"/>
              <w:jc w:val="left"/>
            </w:pPr>
            <w:r>
              <w:rPr>
                <w:b w:val="false"/>
                <w:bCs w:val="false"/>
                <w:sz w:val="24"/>
                <w:szCs w:val="24"/>
              </w:rPr>
              <w:t xml:space="preserve">Middle</w:t>
            </w:r>
          </w:p>
        </w:tc>
        <w:tc>
          <w:tcPr>
            <w:tcW w:type="dxa" w:w="150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62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620"/>
            <w:tcMar>
              <w:top w:type="dxa" w:w="120"/>
              <w:left w:type="dxa" w:w="140"/>
              <w:bottom w:type="dxa" w:w="120"/>
              <w:right w:type="dxa" w:w="140"/>
            </w:tcMar>
          </w:tcPr>
          <w:p>
            <w:pPr>
              <w:spacing w:after="0" w:line="264"/>
              <w:jc w:val="left"/>
            </w:pPr>
            <w:r>
              <w:rPr>
                <w:b w:val="false"/>
                <w:bCs w:val="false"/>
                <w:sz w:val="24"/>
                <w:szCs w:val="24"/>
              </w:rPr>
              <w:t xml:space="preserve">No</w:t>
            </w:r>
          </w:p>
        </w:tc>
        <w:tc>
          <w:tcPr>
            <w:tcW w:type="dxa" w:w="142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220"/>
            <w:tcMar>
              <w:top w:type="dxa" w:w="120"/>
              <w:left w:type="dxa" w:w="140"/>
              <w:bottom w:type="dxa" w:w="120"/>
              <w:right w:type="dxa" w:w="140"/>
            </w:tcMar>
          </w:tcPr>
          <w:p>
            <w:pPr>
              <w:spacing w:after="0" w:line="264"/>
              <w:jc w:val="left"/>
            </w:pPr>
            <w:r>
              <w:rPr>
                <w:b w:val="false"/>
                <w:bCs w:val="false"/>
                <w:sz w:val="24"/>
                <w:szCs w:val="24"/>
              </w:rPr>
              <w:t xml:space="preserve">No</w:t>
            </w:r>
          </w:p>
        </w:tc>
      </w:tr>
      <w:tr>
        <w:trPr>
          <w:cantSplit/>
          <w:tblHeader w:val="false"/>
        </w:trPr>
        <w:tc>
          <w:tcPr>
            <w:tcW w:type="dxa" w:w="1640"/>
            <w:tcMar>
              <w:top w:type="dxa" w:w="120"/>
              <w:left w:type="dxa" w:w="140"/>
              <w:bottom w:type="dxa" w:w="120"/>
              <w:right w:type="dxa" w:w="140"/>
            </w:tcMar>
          </w:tcPr>
          <w:p>
            <w:pPr>
              <w:spacing w:after="0" w:line="264"/>
              <w:jc w:val="left"/>
            </w:pPr>
            <w:r>
              <w:rPr>
                <w:b w:val="false"/>
                <w:bCs w:val="false"/>
                <w:sz w:val="24"/>
                <w:szCs w:val="24"/>
              </w:rPr>
              <w:t xml:space="preserve">Junior</w:t>
            </w:r>
          </w:p>
        </w:tc>
        <w:tc>
          <w:tcPr>
            <w:tcW w:type="dxa" w:w="150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620"/>
            <w:tcMar>
              <w:top w:type="dxa" w:w="120"/>
              <w:left w:type="dxa" w:w="140"/>
              <w:bottom w:type="dxa" w:w="120"/>
              <w:right w:type="dxa" w:w="140"/>
            </w:tcMar>
          </w:tcPr>
          <w:p>
            <w:pPr>
              <w:spacing w:after="0" w:line="264"/>
              <w:jc w:val="left"/>
            </w:pPr>
            <w:r>
              <w:rPr>
                <w:b w:val="false"/>
                <w:bCs w:val="false"/>
                <w:sz w:val="24"/>
                <w:szCs w:val="24"/>
              </w:rPr>
              <w:t xml:space="preserve">No</w:t>
            </w:r>
          </w:p>
        </w:tc>
        <w:tc>
          <w:tcPr>
            <w:tcW w:type="dxa" w:w="1620"/>
            <w:tcMar>
              <w:top w:type="dxa" w:w="120"/>
              <w:left w:type="dxa" w:w="140"/>
              <w:bottom w:type="dxa" w:w="120"/>
              <w:right w:type="dxa" w:w="140"/>
            </w:tcMar>
          </w:tcPr>
          <w:p>
            <w:pPr>
              <w:spacing w:after="0" w:line="264"/>
              <w:jc w:val="left"/>
            </w:pPr>
            <w:r>
              <w:rPr>
                <w:b w:val="false"/>
                <w:bCs w:val="false"/>
                <w:sz w:val="24"/>
                <w:szCs w:val="24"/>
              </w:rPr>
              <w:t xml:space="preserve">No</w:t>
            </w:r>
          </w:p>
        </w:tc>
        <w:tc>
          <w:tcPr>
            <w:tcW w:type="dxa" w:w="1420"/>
            <w:tcMar>
              <w:top w:type="dxa" w:w="120"/>
              <w:left w:type="dxa" w:w="140"/>
              <w:bottom w:type="dxa" w:w="120"/>
              <w:right w:type="dxa" w:w="140"/>
            </w:tcMar>
          </w:tcPr>
          <w:p>
            <w:pPr>
              <w:spacing w:after="0" w:line="264"/>
              <w:jc w:val="left"/>
            </w:pPr>
            <w:r>
              <w:rPr>
                <w:b w:val="false"/>
                <w:bCs w:val="false"/>
                <w:sz w:val="24"/>
                <w:szCs w:val="24"/>
              </w:rPr>
              <w:t xml:space="preserve">No</w:t>
            </w:r>
          </w:p>
        </w:tc>
        <w:tc>
          <w:tcPr>
            <w:tcW w:type="dxa" w:w="1220"/>
            <w:tcMar>
              <w:top w:type="dxa" w:w="120"/>
              <w:left w:type="dxa" w:w="140"/>
              <w:bottom w:type="dxa" w:w="120"/>
              <w:right w:type="dxa" w:w="140"/>
            </w:tcMar>
          </w:tcPr>
          <w:p>
            <w:pPr>
              <w:spacing w:after="0" w:line="264"/>
              <w:jc w:val="left"/>
            </w:pPr>
            <w:r>
              <w:rPr>
                <w:b w:val="false"/>
                <w:bCs w:val="false"/>
                <w:sz w:val="24"/>
                <w:szCs w:val="24"/>
              </w:rPr>
              <w:t xml:space="preserve">No</w:t>
            </w:r>
          </w:p>
        </w:tc>
      </w:tr>
    </w:tbl>
    <w:p>
      <w:pPr>
        <w:spacing w:after="240"/>
      </w:pPr>
    </w:p>
    <w:p>
      <w:pPr>
        <w:pStyle w:val="Heading2"/>
        <w:keepNext/>
        <w:spacing w:after="200" w:before="400" w:line="300"/>
      </w:pPr>
      <w:r>
        <w:rPr>
          <w:b/>
          <w:bCs/>
          <w:color w:val="000000"/>
          <w:sz w:val="32"/>
          <w:szCs w:val="32"/>
        </w:rPr>
        <w:t xml:space="preserve">The core workflow</w:t>
      </w:r>
    </w:p>
    <w:p>
      <w:pPr>
        <w:pStyle w:val="ListParagraph"/>
        <w:numPr>
          <w:ilvl w:val="0"/>
          <w:numId w:val="3"/>
        </w:numPr>
        <w:spacing w:after="140" w:line="360"/>
        <w:jc w:val="left"/>
      </w:pPr>
      <w:r>
        <w:rPr>
          <w:sz w:val="28"/>
          <w:szCs w:val="28"/>
        </w:rPr>
        <w:t xml:space="preserve">Upload. Drag documents onto the Documents page — PDFs, Word files and spreadsheets. Text, tables and figures are extracted automatically. Large files keep processing in the background; you can leave the page.</w:t>
      </w:r>
    </w:p>
    <w:p>
      <w:pPr>
        <w:pStyle w:val="ListParagraph"/>
        <w:numPr>
          <w:ilvl w:val="0"/>
          <w:numId w:val="3"/>
        </w:numPr>
        <w:spacing w:after="140" w:line="360"/>
        <w:jc w:val="left"/>
      </w:pPr>
      <w:r>
        <w:rPr>
          <w:sz w:val="28"/>
          <w:szCs w:val="28"/>
        </w:rPr>
        <w:t xml:space="preserve">Ask. Type a question in plain English on the Ask page. The system searches every document in your workspace at once. No search operators needed.</w:t>
      </w:r>
    </w:p>
    <w:p>
      <w:pPr>
        <w:pStyle w:val="ListParagraph"/>
        <w:numPr>
          <w:ilvl w:val="0"/>
          <w:numId w:val="3"/>
        </w:numPr>
        <w:spacing w:after="140" w:line="360"/>
        <w:jc w:val="left"/>
      </w:pPr>
      <w:r>
        <w:rPr>
          <w:sz w:val="28"/>
          <w:szCs w:val="28"/>
        </w:rPr>
        <w:t xml:space="preserve">Verify. Every answer carries citations naming the source document and page. Open a citation to read the original passage and confirm the answer for yourself.</w:t>
      </w:r>
    </w:p>
    <w:p>
      <w:pPr>
        <w:pStyle w:val="ListParagraph"/>
        <w:numPr>
          <w:ilvl w:val="0"/>
          <w:numId w:val="3"/>
        </w:numPr>
        <w:spacing w:after="140" w:line="360"/>
        <w:jc w:val="left"/>
      </w:pPr>
      <w:r>
        <w:rPr>
          <w:sz w:val="28"/>
          <w:szCs w:val="28"/>
        </w:rPr>
        <w:t xml:space="preserve">Review. Dashboards summarise recurring themes and figures across your documents, for roles with access.</w:t>
      </w:r>
    </w:p>
    <w:p>
      <w:pPr>
        <w:pStyle w:val="Heading2"/>
        <w:keepNext/>
        <w:spacing w:after="200" w:before="400" w:line="300"/>
      </w:pPr>
      <w:r>
        <w:rPr>
          <w:b/>
          <w:bCs/>
          <w:color w:val="000000"/>
          <w:sz w:val="32"/>
          <w:szCs w:val="32"/>
        </w:rPr>
        <w:t xml:space="preserve">Administration</w:t>
      </w:r>
    </w:p>
    <w:p>
      <w:pPr>
        <w:spacing w:after="200" w:line="360"/>
        <w:jc w:val="both"/>
      </w:pPr>
      <w:r>
        <w:rPr>
          <w:sz w:val="28"/>
          <w:szCs w:val="28"/>
        </w:rPr>
        <w:t xml:space="preserve">Senior users can, from the Users page:</w:t>
      </w:r>
    </w:p>
    <w:p>
      <w:pPr>
        <w:pStyle w:val="ListParagraph"/>
        <w:numPr>
          <w:ilvl w:val="0"/>
          <w:numId w:val="2"/>
        </w:numPr>
        <w:spacing w:after="140" w:line="360"/>
        <w:jc w:val="left"/>
      </w:pPr>
      <w:r>
        <w:rPr>
          <w:sz w:val="28"/>
          <w:szCs w:val="28"/>
        </w:rPr>
        <w:t xml:space="preserve">Invite a colleague by email address and assign their role</w:t>
      </w:r>
    </w:p>
    <w:p>
      <w:pPr>
        <w:pStyle w:val="ListParagraph"/>
        <w:numPr>
          <w:ilvl w:val="0"/>
          <w:numId w:val="2"/>
        </w:numPr>
        <w:spacing w:after="140" w:line="360"/>
        <w:jc w:val="left"/>
      </w:pPr>
      <w:r>
        <w:rPr>
          <w:sz w:val="28"/>
          <w:szCs w:val="28"/>
        </w:rPr>
        <w:t xml:space="preserve">Change an existing user’s role</w:t>
      </w:r>
    </w:p>
    <w:p>
      <w:pPr>
        <w:pStyle w:val="ListParagraph"/>
        <w:numPr>
          <w:ilvl w:val="0"/>
          <w:numId w:val="2"/>
        </w:numPr>
        <w:spacing w:after="140" w:line="360"/>
        <w:jc w:val="left"/>
      </w:pPr>
      <w:r>
        <w:rPr>
          <w:sz w:val="28"/>
          <w:szCs w:val="28"/>
        </w:rPr>
        <w:t xml:space="preserve">Remove a user’s access</w:t>
      </w:r>
    </w:p>
    <w:p>
      <w:pPr>
        <w:spacing w:after="200" w:line="360"/>
        <w:jc w:val="both"/>
      </w:pPr>
      <w:r>
        <w:rPr>
          <w:sz w:val="28"/>
          <w:szCs w:val="28"/>
        </w:rPr>
        <w:t xml:space="preserve">From Settings → Workspace, senior users can also set the workspace icon, which appears in the browser tab and on the sidebar.</w:t>
      </w:r>
    </w:p>
    <w:p>
      <w:pPr>
        <w:pStyle w:val="Heading2"/>
        <w:keepNext/>
        <w:spacing w:after="200" w:before="400" w:line="300"/>
      </w:pPr>
      <w:r>
        <w:rPr>
          <w:b/>
          <w:bCs/>
          <w:color w:val="000000"/>
          <w:sz w:val="32"/>
          <w:szCs w:val="32"/>
        </w:rPr>
        <w:t xml:space="preserve">Getting help</w:t>
      </w:r>
    </w:p>
    <w:p>
      <w:pPr>
        <w:spacing w:after="200" w:line="360"/>
        <w:jc w:val="both"/>
      </w:pPr>
      <w:r>
        <w:rPr>
          <w:sz w:val="28"/>
          <w:szCs w:val="28"/>
        </w:rPr>
        <w:t xml:space="preserve">If an answer looks wrong, open its citation first — the source passage usually explains why the answer came out the way it did. If a document appears not to have been read, check the Documents page: it shows processing status per file.</w:t>
      </w:r>
    </w:p>
    <w:p>
      <w:r>
        <w:br w:type="page"/>
      </w:r>
    </w:p>
    <w:p>
      <w:pPr>
        <w:pStyle w:val="Heading1"/>
        <w:keepNext/>
        <w:spacing w:after="280" w:before="480" w:line="300"/>
      </w:pPr>
      <w:r>
        <w:rPr>
          <w:b/>
          <w:bCs/>
          <w:color w:val="1F3864"/>
          <w:sz w:val="40"/>
          <w:szCs w:val="40"/>
        </w:rPr>
        <w:t xml:space="preserve">Part 2 — Data Protection &amp; Confidentiality</w:t>
      </w:r>
    </w:p>
    <w:p>
      <w:pPr>
        <w:spacing w:after="200" w:line="360"/>
        <w:jc w:val="both"/>
      </w:pPr>
      <w:r>
        <w:rPr>
          <w:sz w:val="28"/>
          <w:szCs w:val="28"/>
        </w:rPr>
        <w:t xml:space="preserve">Nyansa AI is a multi-tenant document intelligence platform. Each client organisation’s documents, extracted data and conversations are isolated at the database level, encrypted in transit and at rest, and processed by the named sub-processors below.</w:t>
      </w:r>
    </w:p>
    <w:p>
      <w:pPr>
        <w:spacing w:after="200" w:line="360"/>
        <w:jc w:val="both"/>
      </w:pPr>
      <w:r>
        <w:rPr>
          <w:i/>
          <w:iCs/>
          <w:color w:val="4A4A4A"/>
          <w:sz w:val="28"/>
          <w:szCs w:val="28"/>
        </w:rPr>
        <w:t xml:space="preserve">This document states current, implemented controls. Where something is not in place, it is listed under Current limitations rather than omitted.</w:t>
      </w:r>
    </w:p>
    <w:p>
      <w:pPr>
        <w:pStyle w:val="Heading2"/>
        <w:keepNext/>
        <w:spacing w:after="200" w:before="400" w:line="300"/>
      </w:pPr>
      <w:r>
        <w:rPr>
          <w:b/>
          <w:bCs/>
          <w:color w:val="000000"/>
          <w:sz w:val="32"/>
          <w:szCs w:val="32"/>
        </w:rPr>
        <w:t xml:space="preserve">What data the platform holds</w:t>
      </w:r>
    </w:p>
    <w:tbl>
      <w:tblPr>
        <w:tblW w:type="dxa" w:w="9020"/>
        <w:tblBorders>
          <w:top w:val="single" w:color="9AA5B4" w:sz="4"/>
          <w:left w:val="single" w:color="9AA5B4" w:sz="4"/>
          <w:bottom w:val="single" w:color="9AA5B4" w:sz="4"/>
          <w:right w:val="single" w:color="9AA5B4" w:sz="4"/>
          <w:insideH w:val="single" w:color="C3CBD6" w:sz="2"/>
          <w:insideV w:val="single" w:color="C3CBD6" w:sz="2"/>
        </w:tblBorders>
      </w:tblPr>
      <w:tblGrid>
        <w:gridCol w:w="2320"/>
        <w:gridCol w:w="2300"/>
        <w:gridCol w:w="4400"/>
      </w:tblGrid>
      <w:tr>
        <w:trPr>
          <w:cantSplit/>
          <w:tblHeader/>
        </w:trPr>
        <w:tc>
          <w:tcPr>
            <w:tcW w:type="dxa" w:w="2320"/>
            <w:shd w:fill="E8EDF5" w:val="clear"/>
            <w:tcMar>
              <w:top w:type="dxa" w:w="120"/>
              <w:left w:type="dxa" w:w="140"/>
              <w:bottom w:type="dxa" w:w="120"/>
              <w:right w:type="dxa" w:w="140"/>
            </w:tcMar>
          </w:tcPr>
          <w:p>
            <w:pPr>
              <w:spacing w:after="0" w:line="264"/>
              <w:jc w:val="left"/>
            </w:pPr>
            <w:r>
              <w:rPr>
                <w:b/>
                <w:bCs/>
                <w:sz w:val="24"/>
                <w:szCs w:val="24"/>
              </w:rPr>
              <w:t xml:space="preserve">Data held</w:t>
            </w:r>
          </w:p>
        </w:tc>
        <w:tc>
          <w:tcPr>
            <w:tcW w:type="dxa" w:w="2300"/>
            <w:shd w:fill="E8EDF5" w:val="clear"/>
            <w:tcMar>
              <w:top w:type="dxa" w:w="120"/>
              <w:left w:type="dxa" w:w="140"/>
              <w:bottom w:type="dxa" w:w="120"/>
              <w:right w:type="dxa" w:w="140"/>
            </w:tcMar>
          </w:tcPr>
          <w:p>
            <w:pPr>
              <w:spacing w:after="0" w:line="264"/>
              <w:jc w:val="left"/>
            </w:pPr>
            <w:r>
              <w:rPr>
                <w:b/>
                <w:bCs/>
                <w:sz w:val="24"/>
                <w:szCs w:val="24"/>
              </w:rPr>
              <w:t xml:space="preserve">Where it lives</w:t>
            </w:r>
          </w:p>
        </w:tc>
        <w:tc>
          <w:tcPr>
            <w:tcW w:type="dxa" w:w="4400"/>
            <w:shd w:fill="E8EDF5" w:val="clear"/>
            <w:tcMar>
              <w:top w:type="dxa" w:w="120"/>
              <w:left w:type="dxa" w:w="140"/>
              <w:bottom w:type="dxa" w:w="120"/>
              <w:right w:type="dxa" w:w="140"/>
            </w:tcMar>
          </w:tcPr>
          <w:p>
            <w:pPr>
              <w:spacing w:after="0" w:line="264"/>
              <w:jc w:val="left"/>
            </w:pPr>
            <w:r>
              <w:rPr>
                <w:b/>
                <w:bCs/>
                <w:sz w:val="24"/>
                <w:szCs w:val="24"/>
              </w:rPr>
              <w:t xml:space="preserve">Notes</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Original documents</w:t>
            </w:r>
          </w:p>
        </w:tc>
        <w:tc>
          <w:tcPr>
            <w:tcW w:type="dxa" w:w="2300"/>
            <w:tcMar>
              <w:top w:type="dxa" w:w="120"/>
              <w:left w:type="dxa" w:w="140"/>
              <w:bottom w:type="dxa" w:w="120"/>
              <w:right w:type="dxa" w:w="140"/>
            </w:tcMar>
          </w:tcPr>
          <w:p>
            <w:pPr>
              <w:spacing w:after="0" w:line="264"/>
              <w:jc w:val="left"/>
            </w:pPr>
            <w:r>
              <w:rPr>
                <w:b w:val="false"/>
                <w:bCs w:val="false"/>
                <w:sz w:val="24"/>
                <w:szCs w:val="24"/>
              </w:rPr>
              <w:t xml:space="preserve">Private object storage</w:t>
            </w:r>
          </w:p>
        </w:tc>
        <w:tc>
          <w:tcPr>
            <w:tcW w:type="dxa" w:w="4400"/>
            <w:tcMar>
              <w:top w:type="dxa" w:w="120"/>
              <w:left w:type="dxa" w:w="140"/>
              <w:bottom w:type="dxa" w:w="120"/>
              <w:right w:type="dxa" w:w="140"/>
            </w:tcMar>
          </w:tcPr>
          <w:p>
            <w:pPr>
              <w:spacing w:after="0" w:line="264"/>
              <w:jc w:val="left"/>
            </w:pPr>
            <w:r>
              <w:rPr>
                <w:b w:val="false"/>
                <w:bCs w:val="false"/>
                <w:sz w:val="24"/>
                <w:szCs w:val="24"/>
              </w:rPr>
              <w:t xml:space="preserve">PDFs, Word files, spreadsheets uploaded by the client</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Extracted text and tables</w:t>
            </w:r>
          </w:p>
        </w:tc>
        <w:tc>
          <w:tcPr>
            <w:tcW w:type="dxa" w:w="2300"/>
            <w:tcMar>
              <w:top w:type="dxa" w:w="120"/>
              <w:left w:type="dxa" w:w="140"/>
              <w:bottom w:type="dxa" w:w="120"/>
              <w:right w:type="dxa" w:w="140"/>
            </w:tcMar>
          </w:tcPr>
          <w:p>
            <w:pPr>
              <w:spacing w:after="0" w:line="264"/>
              <w:jc w:val="left"/>
            </w:pPr>
            <w:r>
              <w:rPr>
                <w:b w:val="false"/>
                <w:bCs w:val="false"/>
                <w:sz w:val="24"/>
                <w:szCs w:val="24"/>
              </w:rPr>
              <w:t xml:space="preserve">Database</w:t>
            </w:r>
          </w:p>
        </w:tc>
        <w:tc>
          <w:tcPr>
            <w:tcW w:type="dxa" w:w="4400"/>
            <w:tcMar>
              <w:top w:type="dxa" w:w="120"/>
              <w:left w:type="dxa" w:w="140"/>
              <w:bottom w:type="dxa" w:w="120"/>
              <w:right w:type="dxa" w:w="140"/>
            </w:tcMar>
          </w:tcPr>
          <w:p>
            <w:pPr>
              <w:spacing w:after="0" w:line="264"/>
              <w:jc w:val="left"/>
            </w:pPr>
            <w:r>
              <w:rPr>
                <w:b w:val="false"/>
                <w:bCs w:val="false"/>
                <w:sz w:val="24"/>
                <w:szCs w:val="24"/>
              </w:rPr>
              <w:t xml:space="preserve">Passages, plus separately extracted tables and figures</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Vector embeddings</w:t>
            </w:r>
          </w:p>
        </w:tc>
        <w:tc>
          <w:tcPr>
            <w:tcW w:type="dxa" w:w="2300"/>
            <w:tcMar>
              <w:top w:type="dxa" w:w="120"/>
              <w:left w:type="dxa" w:w="140"/>
              <w:bottom w:type="dxa" w:w="120"/>
              <w:right w:type="dxa" w:w="140"/>
            </w:tcMar>
          </w:tcPr>
          <w:p>
            <w:pPr>
              <w:spacing w:after="0" w:line="264"/>
              <w:jc w:val="left"/>
            </w:pPr>
            <w:r>
              <w:rPr>
                <w:b w:val="false"/>
                <w:bCs w:val="false"/>
                <w:sz w:val="24"/>
                <w:szCs w:val="24"/>
              </w:rPr>
              <w:t xml:space="preserve">Database</w:t>
            </w:r>
          </w:p>
        </w:tc>
        <w:tc>
          <w:tcPr>
            <w:tcW w:type="dxa" w:w="4400"/>
            <w:tcMar>
              <w:top w:type="dxa" w:w="120"/>
              <w:left w:type="dxa" w:w="140"/>
              <w:bottom w:type="dxa" w:w="120"/>
              <w:right w:type="dxa" w:w="140"/>
            </w:tcMar>
          </w:tcPr>
          <w:p>
            <w:pPr>
              <w:spacing w:after="0" w:line="264"/>
              <w:jc w:val="left"/>
            </w:pPr>
            <w:r>
              <w:rPr>
                <w:b w:val="false"/>
                <w:bCs w:val="false"/>
                <w:sz w:val="24"/>
                <w:szCs w:val="24"/>
              </w:rPr>
              <w:t xml:space="preserve">Numeric representations used to find relevant passages</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Questions and answers</w:t>
            </w:r>
          </w:p>
        </w:tc>
        <w:tc>
          <w:tcPr>
            <w:tcW w:type="dxa" w:w="2300"/>
            <w:tcMar>
              <w:top w:type="dxa" w:w="120"/>
              <w:left w:type="dxa" w:w="140"/>
              <w:bottom w:type="dxa" w:w="120"/>
              <w:right w:type="dxa" w:w="140"/>
            </w:tcMar>
          </w:tcPr>
          <w:p>
            <w:pPr>
              <w:spacing w:after="0" w:line="264"/>
              <w:jc w:val="left"/>
            </w:pPr>
            <w:r>
              <w:rPr>
                <w:b w:val="false"/>
                <w:bCs w:val="false"/>
                <w:sz w:val="24"/>
                <w:szCs w:val="24"/>
              </w:rPr>
              <w:t xml:space="preserve">Database</w:t>
            </w:r>
          </w:p>
        </w:tc>
        <w:tc>
          <w:tcPr>
            <w:tcW w:type="dxa" w:w="4400"/>
            <w:tcMar>
              <w:top w:type="dxa" w:w="120"/>
              <w:left w:type="dxa" w:w="140"/>
              <w:bottom w:type="dxa" w:w="120"/>
              <w:right w:type="dxa" w:w="140"/>
            </w:tcMar>
          </w:tcPr>
          <w:p>
            <w:pPr>
              <w:spacing w:after="0" w:line="264"/>
              <w:jc w:val="left"/>
            </w:pPr>
            <w:r>
              <w:rPr>
                <w:b w:val="false"/>
                <w:bCs w:val="false"/>
                <w:sz w:val="24"/>
                <w:szCs w:val="24"/>
              </w:rPr>
              <w:t xml:space="preserve">Conversation history with citations to source documents</w:t>
            </w:r>
          </w:p>
        </w:tc>
      </w:tr>
    </w:tbl>
    <w:p>
      <w:pPr>
        <w:spacing w:after="240"/>
      </w:pPr>
    </w:p>
    <w:p>
      <w:pPr>
        <w:spacing w:after="200" w:line="360"/>
        <w:jc w:val="both"/>
      </w:pPr>
      <w:r>
        <w:rPr>
          <w:sz w:val="28"/>
          <w:szCs w:val="28"/>
        </w:rPr>
        <w:t xml:space="preserve">User account data is limited to name, email address, organisation and role. No payment details are collected. No special-category personal data is processed unless a client uploads documents containing it.</w:t>
      </w:r>
    </w:p>
    <w:p>
      <w:pPr>
        <w:pStyle w:val="Heading2"/>
        <w:keepNext/>
        <w:spacing w:after="200" w:before="400" w:line="300"/>
      </w:pPr>
      <w:r>
        <w:rPr>
          <w:b/>
          <w:bCs/>
          <w:color w:val="000000"/>
          <w:sz w:val="32"/>
          <w:szCs w:val="32"/>
        </w:rPr>
        <w:t xml:space="preserve">Isolation and access control</w:t>
      </w:r>
    </w:p>
    <w:p>
      <w:pPr>
        <w:spacing w:after="200" w:line="360"/>
        <w:jc w:val="both"/>
      </w:pPr>
      <w:r>
        <w:rPr>
          <w:sz w:val="28"/>
          <w:szCs w:val="28"/>
        </w:rPr>
        <w:t xml:space="preserve">Separation between organisations is enforced by the database, not by application code that could be bypassed.</w:t>
      </w:r>
    </w:p>
    <w:p>
      <w:pPr>
        <w:spacing w:after="200" w:line="360"/>
        <w:jc w:val="both"/>
      </w:pPr>
      <w:r>
        <w:rPr>
          <w:sz w:val="28"/>
          <w:szCs w:val="28"/>
        </w:rPr>
        <w:t xml:space="preserve">Every table carrying client data has row-level security enabled. Each database request runs as the signed-in user and returns only rows belonging to that user’s organisation. An application bug, a malformed request, or a direct call to the data API cannot return another organisation’s rows, because the filter is applied below the application layer.</w:t>
      </w:r>
    </w:p>
    <w:p>
      <w:pPr>
        <w:spacing w:after="200" w:line="360"/>
        <w:jc w:val="both"/>
      </w:pPr>
      <w:r>
        <w:rPr>
          <w:sz w:val="28"/>
          <w:szCs w:val="28"/>
        </w:rPr>
        <w:t xml:space="preserve">Three further controls sit on top:</w:t>
      </w:r>
    </w:p>
    <w:p>
      <w:pPr>
        <w:pStyle w:val="ListParagraph"/>
        <w:numPr>
          <w:ilvl w:val="0"/>
          <w:numId w:val="2"/>
        </w:numPr>
        <w:spacing w:after="140" w:line="360"/>
        <w:jc w:val="left"/>
      </w:pPr>
      <w:r>
        <w:rPr>
          <w:sz w:val="28"/>
          <w:szCs w:val="28"/>
        </w:rPr>
        <w:t xml:space="preserve">Workspace addressing — each organisation uses its own subdomain; a signed-in user reaching another organisation’s subdomain is redirected to their own workspace.</w:t>
      </w:r>
    </w:p>
    <w:p>
      <w:pPr>
        <w:pStyle w:val="ListParagraph"/>
        <w:numPr>
          <w:ilvl w:val="0"/>
          <w:numId w:val="2"/>
        </w:numPr>
        <w:spacing w:after="140" w:line="360"/>
        <w:jc w:val="left"/>
      </w:pPr>
      <w:r>
        <w:rPr>
          <w:sz w:val="28"/>
          <w:szCs w:val="28"/>
        </w:rPr>
        <w:t xml:space="preserve">Membership checks — a user belongs to exactly one organisation through a membership record carrying their role; sign-in against a workspace the account does not belong to is rejected explicitly.</w:t>
      </w:r>
    </w:p>
    <w:p>
      <w:pPr>
        <w:pStyle w:val="ListParagraph"/>
        <w:numPr>
          <w:ilvl w:val="0"/>
          <w:numId w:val="2"/>
        </w:numPr>
        <w:spacing w:after="140" w:line="360"/>
        <w:jc w:val="left"/>
      </w:pPr>
      <w:r>
        <w:rPr>
          <w:sz w:val="28"/>
          <w:szCs w:val="28"/>
        </w:rPr>
        <w:t xml:space="preserve">Server-side permission checks — role permissions are evaluated server-side on every request.</w:t>
      </w:r>
    </w:p>
    <w:p>
      <w:pPr>
        <w:spacing w:after="200" w:line="360"/>
        <w:jc w:val="both"/>
      </w:pPr>
      <w:r>
        <w:rPr>
          <w:b/>
          <w:bCs/>
          <w:sz w:val="28"/>
          <w:szCs w:val="28"/>
        </w:rPr>
        <w:t xml:space="preserve">Verification performed 26 September 2026. </w:t>
      </w:r>
      <w:r>
        <w:rPr>
          <w:sz w:val="28"/>
          <w:szCs w:val="28"/>
        </w:rPr>
        <w:t xml:space="preserve">All 18 tables holding client data were queried using the public API key that any visitor’s browser carries. Every table returned zero rows — documents, extracted passages, extracted figures, citations, conversations, memberships, organisations, authentication codes and the rest. No client data is reachable without an authenticated session.</w:t>
      </w:r>
    </w:p>
    <w:p>
      <w:pPr>
        <w:pStyle w:val="Heading2"/>
        <w:keepNext/>
        <w:spacing w:after="200" w:before="400" w:line="300"/>
      </w:pPr>
      <w:r>
        <w:rPr>
          <w:b/>
          <w:bCs/>
          <w:color w:val="000000"/>
          <w:sz w:val="32"/>
          <w:szCs w:val="32"/>
        </w:rPr>
        <w:t xml:space="preserve">Encryption, storage and sign-in</w:t>
      </w:r>
    </w:p>
    <w:p>
      <w:pPr>
        <w:spacing w:after="200" w:line="360"/>
        <w:jc w:val="both"/>
      </w:pPr>
      <w:r>
        <w:rPr>
          <w:b/>
          <w:bCs/>
          <w:sz w:val="28"/>
          <w:szCs w:val="28"/>
        </w:rPr>
        <w:t xml:space="preserve">In transit. </w:t>
      </w:r>
      <w:r>
        <w:rPr>
          <w:sz w:val="28"/>
          <w:szCs w:val="28"/>
        </w:rPr>
        <w:t xml:space="preserve">All traffic runs over HTTPS/TLS, including connections to the database, object storage and AI providers.</w:t>
      </w:r>
    </w:p>
    <w:p>
      <w:pPr>
        <w:spacing w:after="200" w:line="360"/>
        <w:jc w:val="both"/>
      </w:pPr>
      <w:r>
        <w:rPr>
          <w:b/>
          <w:bCs/>
          <w:sz w:val="28"/>
          <w:szCs w:val="28"/>
        </w:rPr>
        <w:t xml:space="preserve">At rest. </w:t>
      </w:r>
      <w:r>
        <w:rPr>
          <w:sz w:val="28"/>
          <w:szCs w:val="28"/>
        </w:rPr>
        <w:t xml:space="preserve">Data is stored on encrypted volumes provided by Supabase (running on AWS). Encryption at rest is applied at the storage layer by the provider; the platform does not additionally encrypt individual fields.</w:t>
      </w:r>
    </w:p>
    <w:p>
      <w:pPr>
        <w:spacing w:after="200" w:line="360"/>
        <w:jc w:val="both"/>
      </w:pPr>
      <w:r>
        <w:rPr>
          <w:b/>
          <w:bCs/>
          <w:sz w:val="28"/>
          <w:szCs w:val="28"/>
        </w:rPr>
        <w:t xml:space="preserve">Document storage is private. </w:t>
      </w:r>
      <w:r>
        <w:rPr>
          <w:sz w:val="28"/>
          <w:szCs w:val="28"/>
        </w:rPr>
        <w:t xml:space="preserve">Uploaded files live in a storage bucket marked private, so no file is retrievable by URL without an authorised request. The only public bucket holds organisation logos, used as browser tab icons and intended to be public.</w:t>
      </w:r>
    </w:p>
    <w:p>
      <w:pPr>
        <w:spacing w:after="200" w:line="360"/>
        <w:jc w:val="both"/>
      </w:pPr>
      <w:r>
        <w:rPr>
          <w:b/>
          <w:bCs/>
          <w:sz w:val="28"/>
          <w:szCs w:val="28"/>
        </w:rPr>
        <w:t xml:space="preserve">Sign-in. </w:t>
      </w:r>
      <w:r>
        <w:rPr>
          <w:sz w:val="28"/>
          <w:szCs w:val="28"/>
        </w:rPr>
        <w:t xml:space="preserve">Passwords are hashed by the authentication provider and are never visible to us or to administrators. Two-factor authentication is available as an authenticator app (TOTP) or an emailed six-digit code — the latter stored only as a hash, valid 10 minutes, limited to five attempts and rate-limited between requests. Sessions use signed cookies scoped to the organisation’s domain.</w:t>
      </w:r>
    </w:p>
    <w:p>
      <w:pPr>
        <w:pStyle w:val="Heading2"/>
        <w:keepNext/>
        <w:spacing w:after="200" w:before="400" w:line="300"/>
      </w:pPr>
      <w:r>
        <w:rPr>
          <w:b/>
          <w:bCs/>
          <w:color w:val="000000"/>
          <w:sz w:val="32"/>
          <w:szCs w:val="32"/>
        </w:rPr>
        <w:t xml:space="preserve">Sub-processors and data flows</w:t>
      </w:r>
    </w:p>
    <w:p>
      <w:pPr>
        <w:spacing w:after="200" w:line="360"/>
        <w:jc w:val="both"/>
      </w:pPr>
      <w:r>
        <w:rPr>
          <w:sz w:val="28"/>
          <w:szCs w:val="28"/>
        </w:rPr>
        <w:t xml:space="preserve">Answering questions over documents requires sending document content to AI providers. This is stated plainly rather than left to be discovered during review.</w:t>
      </w:r>
    </w:p>
    <w:tbl>
      <w:tblPr>
        <w:tblW w:type="dxa" w:w="9020"/>
        <w:tblBorders>
          <w:top w:val="single" w:color="9AA5B4" w:sz="4"/>
          <w:left w:val="single" w:color="9AA5B4" w:sz="4"/>
          <w:bottom w:val="single" w:color="9AA5B4" w:sz="4"/>
          <w:right w:val="single" w:color="9AA5B4" w:sz="4"/>
          <w:insideH w:val="single" w:color="C3CBD6" w:sz="2"/>
          <w:insideV w:val="single" w:color="C3CBD6" w:sz="2"/>
        </w:tblBorders>
      </w:tblPr>
      <w:tblGrid>
        <w:gridCol w:w="2120"/>
        <w:gridCol w:w="3600"/>
        <w:gridCol w:w="3300"/>
      </w:tblGrid>
      <w:tr>
        <w:trPr>
          <w:cantSplit/>
          <w:tblHeader/>
        </w:trPr>
        <w:tc>
          <w:tcPr>
            <w:tcW w:type="dxa" w:w="2120"/>
            <w:shd w:fill="E8EDF5" w:val="clear"/>
            <w:tcMar>
              <w:top w:type="dxa" w:w="120"/>
              <w:left w:type="dxa" w:w="140"/>
              <w:bottom w:type="dxa" w:w="120"/>
              <w:right w:type="dxa" w:w="140"/>
            </w:tcMar>
          </w:tcPr>
          <w:p>
            <w:pPr>
              <w:spacing w:after="0" w:line="264"/>
              <w:jc w:val="left"/>
            </w:pPr>
            <w:r>
              <w:rPr>
                <w:b/>
                <w:bCs/>
                <w:sz w:val="24"/>
                <w:szCs w:val="24"/>
              </w:rPr>
              <w:t xml:space="preserve">Sub-processor</w:t>
            </w:r>
          </w:p>
        </w:tc>
        <w:tc>
          <w:tcPr>
            <w:tcW w:type="dxa" w:w="3600"/>
            <w:shd w:fill="E8EDF5" w:val="clear"/>
            <w:tcMar>
              <w:top w:type="dxa" w:w="120"/>
              <w:left w:type="dxa" w:w="140"/>
              <w:bottom w:type="dxa" w:w="120"/>
              <w:right w:type="dxa" w:w="140"/>
            </w:tcMar>
          </w:tcPr>
          <w:p>
            <w:pPr>
              <w:spacing w:after="0" w:line="264"/>
              <w:jc w:val="left"/>
            </w:pPr>
            <w:r>
              <w:rPr>
                <w:b/>
                <w:bCs/>
                <w:sz w:val="24"/>
                <w:szCs w:val="24"/>
              </w:rPr>
              <w:t xml:space="preserve">What it receives</w:t>
            </w:r>
          </w:p>
        </w:tc>
        <w:tc>
          <w:tcPr>
            <w:tcW w:type="dxa" w:w="3300"/>
            <w:shd w:fill="E8EDF5" w:val="clear"/>
            <w:tcMar>
              <w:top w:type="dxa" w:w="120"/>
              <w:left w:type="dxa" w:w="140"/>
              <w:bottom w:type="dxa" w:w="120"/>
              <w:right w:type="dxa" w:w="140"/>
            </w:tcMar>
          </w:tcPr>
          <w:p>
            <w:pPr>
              <w:spacing w:after="0" w:line="264"/>
              <w:jc w:val="left"/>
            </w:pPr>
            <w:r>
              <w:rPr>
                <w:b/>
                <w:bCs/>
                <w:sz w:val="24"/>
                <w:szCs w:val="24"/>
              </w:rPr>
              <w:t xml:space="preserve">Purpose</w:t>
            </w:r>
          </w:p>
        </w:tc>
      </w:tr>
      <w:tr>
        <w:trPr>
          <w:cantSplit/>
          <w:tblHeader w:val="false"/>
        </w:trPr>
        <w:tc>
          <w:tcPr>
            <w:tcW w:type="dxa" w:w="2120"/>
            <w:tcMar>
              <w:top w:type="dxa" w:w="120"/>
              <w:left w:type="dxa" w:w="140"/>
              <w:bottom w:type="dxa" w:w="120"/>
              <w:right w:type="dxa" w:w="140"/>
            </w:tcMar>
          </w:tcPr>
          <w:p>
            <w:pPr>
              <w:spacing w:after="0" w:line="264"/>
              <w:jc w:val="left"/>
            </w:pPr>
            <w:r>
              <w:rPr>
                <w:b w:val="false"/>
                <w:bCs w:val="false"/>
                <w:sz w:val="24"/>
                <w:szCs w:val="24"/>
              </w:rPr>
              <w:t xml:space="preserve">Anthropic (Claude)</w:t>
            </w:r>
          </w:p>
        </w:tc>
        <w:tc>
          <w:tcPr>
            <w:tcW w:type="dxa" w:w="3600"/>
            <w:tcMar>
              <w:top w:type="dxa" w:w="120"/>
              <w:left w:type="dxa" w:w="140"/>
              <w:bottom w:type="dxa" w:w="120"/>
              <w:right w:type="dxa" w:w="140"/>
            </w:tcMar>
          </w:tcPr>
          <w:p>
            <w:pPr>
              <w:spacing w:after="0" w:line="264"/>
              <w:jc w:val="left"/>
            </w:pPr>
            <w:r>
              <w:rPr>
                <w:b w:val="false"/>
                <w:bCs w:val="false"/>
                <w:sz w:val="24"/>
                <w:szCs w:val="24"/>
              </w:rPr>
              <w:t xml:space="preserve">Passages retrieved for a question, plus the question</w:t>
            </w:r>
          </w:p>
        </w:tc>
        <w:tc>
          <w:tcPr>
            <w:tcW w:type="dxa" w:w="3300"/>
            <w:tcMar>
              <w:top w:type="dxa" w:w="120"/>
              <w:left w:type="dxa" w:w="140"/>
              <w:bottom w:type="dxa" w:w="120"/>
              <w:right w:type="dxa" w:w="140"/>
            </w:tcMar>
          </w:tcPr>
          <w:p>
            <w:pPr>
              <w:spacing w:after="0" w:line="264"/>
              <w:jc w:val="left"/>
            </w:pPr>
            <w:r>
              <w:rPr>
                <w:b w:val="false"/>
                <w:bCs w:val="false"/>
                <w:sz w:val="24"/>
                <w:szCs w:val="24"/>
              </w:rPr>
              <w:t xml:space="preserve">Generating the cited answer</w:t>
            </w:r>
          </w:p>
        </w:tc>
      </w:tr>
      <w:tr>
        <w:trPr>
          <w:cantSplit/>
          <w:tblHeader w:val="false"/>
        </w:trPr>
        <w:tc>
          <w:tcPr>
            <w:tcW w:type="dxa" w:w="2120"/>
            <w:tcMar>
              <w:top w:type="dxa" w:w="120"/>
              <w:left w:type="dxa" w:w="140"/>
              <w:bottom w:type="dxa" w:w="120"/>
              <w:right w:type="dxa" w:w="140"/>
            </w:tcMar>
          </w:tcPr>
          <w:p>
            <w:pPr>
              <w:spacing w:after="0" w:line="264"/>
              <w:jc w:val="left"/>
            </w:pPr>
            <w:r>
              <w:rPr>
                <w:b w:val="false"/>
                <w:bCs w:val="false"/>
                <w:sz w:val="24"/>
                <w:szCs w:val="24"/>
              </w:rPr>
              <w:t xml:space="preserve">OpenAI</w:t>
            </w:r>
          </w:p>
        </w:tc>
        <w:tc>
          <w:tcPr>
            <w:tcW w:type="dxa" w:w="3600"/>
            <w:tcMar>
              <w:top w:type="dxa" w:w="120"/>
              <w:left w:type="dxa" w:w="140"/>
              <w:bottom w:type="dxa" w:w="120"/>
              <w:right w:type="dxa" w:w="140"/>
            </w:tcMar>
          </w:tcPr>
          <w:p>
            <w:pPr>
              <w:spacing w:after="0" w:line="264"/>
              <w:jc w:val="left"/>
            </w:pPr>
            <w:r>
              <w:rPr>
                <w:b w:val="false"/>
                <w:bCs w:val="false"/>
                <w:sz w:val="24"/>
                <w:szCs w:val="24"/>
              </w:rPr>
              <w:t xml:space="preserve">Document passages, and each question</w:t>
            </w:r>
          </w:p>
        </w:tc>
        <w:tc>
          <w:tcPr>
            <w:tcW w:type="dxa" w:w="3300"/>
            <w:tcMar>
              <w:top w:type="dxa" w:w="120"/>
              <w:left w:type="dxa" w:w="140"/>
              <w:bottom w:type="dxa" w:w="120"/>
              <w:right w:type="dxa" w:w="140"/>
            </w:tcMar>
          </w:tcPr>
          <w:p>
            <w:pPr>
              <w:spacing w:after="0" w:line="264"/>
              <w:jc w:val="left"/>
            </w:pPr>
            <w:r>
              <w:rPr>
                <w:b w:val="false"/>
                <w:bCs w:val="false"/>
                <w:sz w:val="24"/>
                <w:szCs w:val="24"/>
              </w:rPr>
              <w:t xml:space="preserve">Converting text to embeddings for search</w:t>
            </w:r>
          </w:p>
        </w:tc>
      </w:tr>
      <w:tr>
        <w:trPr>
          <w:cantSplit/>
          <w:tblHeader w:val="false"/>
        </w:trPr>
        <w:tc>
          <w:tcPr>
            <w:tcW w:type="dxa" w:w="2120"/>
            <w:tcMar>
              <w:top w:type="dxa" w:w="120"/>
              <w:left w:type="dxa" w:w="140"/>
              <w:bottom w:type="dxa" w:w="120"/>
              <w:right w:type="dxa" w:w="140"/>
            </w:tcMar>
          </w:tcPr>
          <w:p>
            <w:pPr>
              <w:spacing w:after="0" w:line="264"/>
              <w:jc w:val="left"/>
            </w:pPr>
            <w:r>
              <w:rPr>
                <w:b w:val="false"/>
                <w:bCs w:val="false"/>
                <w:sz w:val="24"/>
                <w:szCs w:val="24"/>
              </w:rPr>
              <w:t xml:space="preserve">Supabase</w:t>
            </w:r>
          </w:p>
        </w:tc>
        <w:tc>
          <w:tcPr>
            <w:tcW w:type="dxa" w:w="3600"/>
            <w:tcMar>
              <w:top w:type="dxa" w:w="120"/>
              <w:left w:type="dxa" w:w="140"/>
              <w:bottom w:type="dxa" w:w="120"/>
              <w:right w:type="dxa" w:w="140"/>
            </w:tcMar>
          </w:tcPr>
          <w:p>
            <w:pPr>
              <w:spacing w:after="0" w:line="264"/>
              <w:jc w:val="left"/>
            </w:pPr>
            <w:r>
              <w:rPr>
                <w:b w:val="false"/>
                <w:bCs w:val="false"/>
                <w:sz w:val="24"/>
                <w:szCs w:val="24"/>
              </w:rPr>
              <w:t xml:space="preserve">All stored data: documents, text, embeddings, accounts</w:t>
            </w:r>
          </w:p>
        </w:tc>
        <w:tc>
          <w:tcPr>
            <w:tcW w:type="dxa" w:w="3300"/>
            <w:tcMar>
              <w:top w:type="dxa" w:w="120"/>
              <w:left w:type="dxa" w:w="140"/>
              <w:bottom w:type="dxa" w:w="120"/>
              <w:right w:type="dxa" w:w="140"/>
            </w:tcMar>
          </w:tcPr>
          <w:p>
            <w:pPr>
              <w:spacing w:after="0" w:line="264"/>
              <w:jc w:val="left"/>
            </w:pPr>
            <w:r>
              <w:rPr>
                <w:b w:val="false"/>
                <w:bCs w:val="false"/>
                <w:sz w:val="24"/>
                <w:szCs w:val="24"/>
              </w:rPr>
              <w:t xml:space="preserve">Database, authentication, file storage</w:t>
            </w:r>
          </w:p>
        </w:tc>
      </w:tr>
      <w:tr>
        <w:trPr>
          <w:cantSplit/>
          <w:tblHeader w:val="false"/>
        </w:trPr>
        <w:tc>
          <w:tcPr>
            <w:tcW w:type="dxa" w:w="2120"/>
            <w:tcMar>
              <w:top w:type="dxa" w:w="120"/>
              <w:left w:type="dxa" w:w="140"/>
              <w:bottom w:type="dxa" w:w="120"/>
              <w:right w:type="dxa" w:w="140"/>
            </w:tcMar>
          </w:tcPr>
          <w:p>
            <w:pPr>
              <w:spacing w:after="0" w:line="264"/>
              <w:jc w:val="left"/>
            </w:pPr>
            <w:r>
              <w:rPr>
                <w:b w:val="false"/>
                <w:bCs w:val="false"/>
                <w:sz w:val="24"/>
                <w:szCs w:val="24"/>
              </w:rPr>
              <w:t xml:space="preserve">Vercel</w:t>
            </w:r>
          </w:p>
        </w:tc>
        <w:tc>
          <w:tcPr>
            <w:tcW w:type="dxa" w:w="3600"/>
            <w:tcMar>
              <w:top w:type="dxa" w:w="120"/>
              <w:left w:type="dxa" w:w="140"/>
              <w:bottom w:type="dxa" w:w="120"/>
              <w:right w:type="dxa" w:w="140"/>
            </w:tcMar>
          </w:tcPr>
          <w:p>
            <w:pPr>
              <w:spacing w:after="0" w:line="264"/>
              <w:jc w:val="left"/>
            </w:pPr>
            <w:r>
              <w:rPr>
                <w:b w:val="false"/>
                <w:bCs w:val="false"/>
                <w:sz w:val="24"/>
                <w:szCs w:val="24"/>
              </w:rPr>
              <w:t xml:space="preserve">Requests in transit; application logs</w:t>
            </w:r>
          </w:p>
        </w:tc>
        <w:tc>
          <w:tcPr>
            <w:tcW w:type="dxa" w:w="3300"/>
            <w:tcMar>
              <w:top w:type="dxa" w:w="120"/>
              <w:left w:type="dxa" w:w="140"/>
              <w:bottom w:type="dxa" w:w="120"/>
              <w:right w:type="dxa" w:w="140"/>
            </w:tcMar>
          </w:tcPr>
          <w:p>
            <w:pPr>
              <w:spacing w:after="0" w:line="264"/>
              <w:jc w:val="left"/>
            </w:pPr>
            <w:r>
              <w:rPr>
                <w:b w:val="false"/>
                <w:bCs w:val="false"/>
                <w:sz w:val="24"/>
                <w:szCs w:val="24"/>
              </w:rPr>
              <w:t xml:space="preserve">Application hosting</w:t>
            </w:r>
          </w:p>
        </w:tc>
      </w:tr>
      <w:tr>
        <w:trPr>
          <w:cantSplit/>
          <w:tblHeader w:val="false"/>
        </w:trPr>
        <w:tc>
          <w:tcPr>
            <w:tcW w:type="dxa" w:w="2120"/>
            <w:tcMar>
              <w:top w:type="dxa" w:w="120"/>
              <w:left w:type="dxa" w:w="140"/>
              <w:bottom w:type="dxa" w:w="120"/>
              <w:right w:type="dxa" w:w="140"/>
            </w:tcMar>
          </w:tcPr>
          <w:p>
            <w:pPr>
              <w:spacing w:after="0" w:line="264"/>
              <w:jc w:val="left"/>
            </w:pPr>
            <w:r>
              <w:rPr>
                <w:b w:val="false"/>
                <w:bCs w:val="false"/>
                <w:sz w:val="24"/>
                <w:szCs w:val="24"/>
              </w:rPr>
              <w:t xml:space="preserve">Microsoft 365</w:t>
            </w:r>
          </w:p>
        </w:tc>
        <w:tc>
          <w:tcPr>
            <w:tcW w:type="dxa" w:w="3600"/>
            <w:tcMar>
              <w:top w:type="dxa" w:w="120"/>
              <w:left w:type="dxa" w:w="140"/>
              <w:bottom w:type="dxa" w:w="120"/>
              <w:right w:type="dxa" w:w="140"/>
            </w:tcMar>
          </w:tcPr>
          <w:p>
            <w:pPr>
              <w:spacing w:after="0" w:line="264"/>
              <w:jc w:val="left"/>
            </w:pPr>
            <w:r>
              <w:rPr>
                <w:b w:val="false"/>
                <w:bCs w:val="false"/>
                <w:sz w:val="24"/>
                <w:szCs w:val="24"/>
              </w:rPr>
              <w:t xml:space="preserve">Recipient address and content of authentication emails</w:t>
            </w:r>
          </w:p>
        </w:tc>
        <w:tc>
          <w:tcPr>
            <w:tcW w:type="dxa" w:w="3300"/>
            <w:tcMar>
              <w:top w:type="dxa" w:w="120"/>
              <w:left w:type="dxa" w:w="140"/>
              <w:bottom w:type="dxa" w:w="120"/>
              <w:right w:type="dxa" w:w="140"/>
            </w:tcMar>
          </w:tcPr>
          <w:p>
            <w:pPr>
              <w:spacing w:after="0" w:line="264"/>
              <w:jc w:val="left"/>
            </w:pPr>
            <w:r>
              <w:rPr>
                <w:b w:val="false"/>
                <w:bCs w:val="false"/>
                <w:sz w:val="24"/>
                <w:szCs w:val="24"/>
              </w:rPr>
              <w:t xml:space="preserve">Invitations, password resets, login codes</w:t>
            </w:r>
          </w:p>
        </w:tc>
      </w:tr>
    </w:tbl>
    <w:p>
      <w:pPr>
        <w:spacing w:after="240"/>
      </w:pPr>
    </w:p>
    <w:p>
      <w:pPr>
        <w:spacing w:after="200" w:line="360"/>
        <w:jc w:val="both"/>
      </w:pPr>
      <w:r>
        <w:rPr>
          <w:sz w:val="28"/>
          <w:szCs w:val="28"/>
        </w:rPr>
        <w:t xml:space="preserve">Two points a reviewer will reasonably ask about:</w:t>
      </w:r>
    </w:p>
    <w:p>
      <w:pPr>
        <w:pStyle w:val="ListParagraph"/>
        <w:numPr>
          <w:ilvl w:val="0"/>
          <w:numId w:val="2"/>
        </w:numPr>
        <w:spacing w:after="140" w:line="360"/>
        <w:jc w:val="left"/>
      </w:pPr>
      <w:r>
        <w:rPr>
          <w:sz w:val="28"/>
          <w:szCs w:val="28"/>
        </w:rPr>
        <w:t xml:space="preserve">Document content does leave the platform when a question is asked and when a document is first indexed. It goes only to the providers above, over TLS, for those purposes only.</w:t>
      </w:r>
    </w:p>
    <w:p>
      <w:pPr>
        <w:pStyle w:val="ListParagraph"/>
        <w:numPr>
          <w:ilvl w:val="0"/>
          <w:numId w:val="2"/>
        </w:numPr>
        <w:spacing w:after="140" w:line="360"/>
        <w:jc w:val="left"/>
      </w:pPr>
      <w:r>
        <w:rPr>
          <w:sz w:val="28"/>
          <w:szCs w:val="28"/>
        </w:rPr>
        <w:t xml:space="preserve">Training. Client data is not sent to these providers for model training. Clients requiring contractual assurance that content is excluded from provider-side training should raise it during contracting so the appropriate provider terms are in place.</w:t>
      </w:r>
    </w:p>
    <w:p>
      <w:pPr>
        <w:spacing w:after="200" w:line="360"/>
        <w:jc w:val="both"/>
      </w:pPr>
      <w:r>
        <w:rPr>
          <w:sz w:val="28"/>
          <w:szCs w:val="28"/>
        </w:rPr>
        <w:t xml:space="preserve">Hosting and storage are currently in provider regions outside Ghana. Data-residency requirements should be raised before deployment.</w:t>
      </w:r>
    </w:p>
    <w:p>
      <w:pPr>
        <w:pStyle w:val="Heading2"/>
        <w:keepNext/>
        <w:spacing w:after="200" w:before="400" w:line="300"/>
      </w:pPr>
      <w:r>
        <w:rPr>
          <w:b/>
          <w:bCs/>
          <w:color w:val="000000"/>
          <w:sz w:val="32"/>
          <w:szCs w:val="32"/>
        </w:rPr>
        <w:t xml:space="preserve">Retention and deletion</w:t>
      </w:r>
    </w:p>
    <w:p>
      <w:pPr>
        <w:spacing w:after="200" w:line="360"/>
        <w:jc w:val="both"/>
      </w:pPr>
      <w:r>
        <w:rPr>
          <w:sz w:val="28"/>
          <w:szCs w:val="28"/>
        </w:rPr>
        <w:t xml:space="preserve">Documents and their extracted text, embeddings and citations are retained while the workspace is active. A senior user can delete a document at any time, removing the stored file along with its extracted passages and figures. Conversation history is retained so users can revisit earlier answers.</w:t>
      </w:r>
    </w:p>
    <w:p>
      <w:pPr>
        <w:spacing w:after="200" w:line="360"/>
        <w:jc w:val="both"/>
      </w:pPr>
      <w:r>
        <w:rPr>
          <w:sz w:val="28"/>
          <w:szCs w:val="28"/>
        </w:rPr>
        <w:t xml:space="preserve">On termination, an organisation’s workspace and associated records can be deleted on request. A defined retention and deletion schedule should be agreed contractually.</w:t>
      </w:r>
    </w:p>
    <w:p>
      <w:pPr>
        <w:pStyle w:val="Heading2"/>
        <w:keepNext/>
        <w:spacing w:after="200" w:before="400" w:line="300"/>
      </w:pPr>
      <w:r>
        <w:rPr>
          <w:b/>
          <w:bCs/>
          <w:color w:val="000000"/>
          <w:sz w:val="32"/>
          <w:szCs w:val="32"/>
        </w:rPr>
        <w:t xml:space="preserve">Current limitations</w:t>
      </w:r>
    </w:p>
    <w:p>
      <w:pPr>
        <w:spacing w:after="200" w:line="360"/>
        <w:jc w:val="both"/>
      </w:pPr>
      <w:r>
        <w:rPr>
          <w:sz w:val="28"/>
          <w:szCs w:val="28"/>
        </w:rPr>
        <w:t xml:space="preserve">Stated deliberately, so they are not discovered later.</w:t>
      </w:r>
    </w:p>
    <w:tbl>
      <w:tblPr>
        <w:tblW w:type="dxa" w:w="9020"/>
        <w:tblBorders>
          <w:top w:val="single" w:color="9AA5B4" w:sz="4"/>
          <w:left w:val="single" w:color="9AA5B4" w:sz="4"/>
          <w:bottom w:val="single" w:color="9AA5B4" w:sz="4"/>
          <w:right w:val="single" w:color="9AA5B4" w:sz="4"/>
          <w:insideH w:val="single" w:color="C3CBD6" w:sz="2"/>
          <w:insideV w:val="single" w:color="C3CBD6" w:sz="2"/>
        </w:tblBorders>
      </w:tblPr>
      <w:tblGrid>
        <w:gridCol w:w="2320"/>
        <w:gridCol w:w="6700"/>
      </w:tblGrid>
      <w:tr>
        <w:trPr>
          <w:cantSplit/>
          <w:tblHeader/>
        </w:trPr>
        <w:tc>
          <w:tcPr>
            <w:tcW w:type="dxa" w:w="2320"/>
            <w:shd w:fill="E8EDF5" w:val="clear"/>
            <w:tcMar>
              <w:top w:type="dxa" w:w="120"/>
              <w:left w:type="dxa" w:w="140"/>
              <w:bottom w:type="dxa" w:w="120"/>
              <w:right w:type="dxa" w:w="140"/>
            </w:tcMar>
          </w:tcPr>
          <w:p>
            <w:pPr>
              <w:spacing w:after="0" w:line="264"/>
              <w:jc w:val="left"/>
            </w:pPr>
            <w:r>
              <w:rPr>
                <w:b/>
                <w:bCs/>
                <w:sz w:val="24"/>
                <w:szCs w:val="24"/>
              </w:rPr>
              <w:t xml:space="preserve">Area</w:t>
            </w:r>
          </w:p>
        </w:tc>
        <w:tc>
          <w:tcPr>
            <w:tcW w:type="dxa" w:w="6700"/>
            <w:shd w:fill="E8EDF5" w:val="clear"/>
            <w:tcMar>
              <w:top w:type="dxa" w:w="120"/>
              <w:left w:type="dxa" w:w="140"/>
              <w:bottom w:type="dxa" w:w="120"/>
              <w:right w:type="dxa" w:w="140"/>
            </w:tcMar>
          </w:tcPr>
          <w:p>
            <w:pPr>
              <w:spacing w:after="0" w:line="264"/>
              <w:jc w:val="left"/>
            </w:pPr>
            <w:r>
              <w:rPr>
                <w:b/>
                <w:bCs/>
                <w:sz w:val="24"/>
                <w:szCs w:val="24"/>
              </w:rPr>
              <w:t xml:space="preserve">Position today</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Audit logging</w:t>
            </w:r>
          </w:p>
        </w:tc>
        <w:tc>
          <w:tcPr>
            <w:tcW w:type="dxa" w:w="6700"/>
            <w:tcMar>
              <w:top w:type="dxa" w:w="120"/>
              <w:left w:type="dxa" w:w="140"/>
              <w:bottom w:type="dxa" w:w="120"/>
              <w:right w:type="dxa" w:w="140"/>
            </w:tcMar>
          </w:tcPr>
          <w:p>
            <w:pPr>
              <w:spacing w:after="0" w:line="264"/>
              <w:jc w:val="left"/>
            </w:pPr>
            <w:r>
              <w:rPr>
                <w:b w:val="false"/>
                <w:bCs w:val="false"/>
                <w:sz w:val="24"/>
                <w:szCs w:val="24"/>
              </w:rPr>
              <w:t xml:space="preserve">Questions and uploads are recorded with user identity and timestamp. There is no dedicated audit trail of permission changes, and no exportable compliance report.</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Certification</w:t>
            </w:r>
          </w:p>
        </w:tc>
        <w:tc>
          <w:tcPr>
            <w:tcW w:type="dxa" w:w="6700"/>
            <w:tcMar>
              <w:top w:type="dxa" w:w="120"/>
              <w:left w:type="dxa" w:w="140"/>
              <w:bottom w:type="dxa" w:w="120"/>
              <w:right w:type="dxa" w:w="140"/>
            </w:tcMar>
          </w:tcPr>
          <w:p>
            <w:pPr>
              <w:spacing w:after="0" w:line="264"/>
              <w:jc w:val="left"/>
            </w:pPr>
            <w:r>
              <w:rPr>
                <w:b w:val="false"/>
                <w:bCs w:val="false"/>
                <w:sz w:val="24"/>
                <w:szCs w:val="24"/>
              </w:rPr>
              <w:t xml:space="preserve">No ISO 27001, SOC 2 or equivalent third-party certification. Controls described here are implemented but not externally audited.</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Data residency</w:t>
            </w:r>
          </w:p>
        </w:tc>
        <w:tc>
          <w:tcPr>
            <w:tcW w:type="dxa" w:w="6700"/>
            <w:tcMar>
              <w:top w:type="dxa" w:w="120"/>
              <w:left w:type="dxa" w:w="140"/>
              <w:bottom w:type="dxa" w:w="120"/>
              <w:right w:type="dxa" w:w="140"/>
            </w:tcMar>
          </w:tcPr>
          <w:p>
            <w:pPr>
              <w:spacing w:after="0" w:line="264"/>
              <w:jc w:val="left"/>
            </w:pPr>
            <w:r>
              <w:rPr>
                <w:b w:val="false"/>
                <w:bCs w:val="false"/>
                <w:sz w:val="24"/>
                <w:szCs w:val="24"/>
              </w:rPr>
              <w:t xml:space="preserve">No in-country hosting option at present.</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Penetration testing</w:t>
            </w:r>
          </w:p>
        </w:tc>
        <w:tc>
          <w:tcPr>
            <w:tcW w:type="dxa" w:w="6700"/>
            <w:tcMar>
              <w:top w:type="dxa" w:w="120"/>
              <w:left w:type="dxa" w:w="140"/>
              <w:bottom w:type="dxa" w:w="120"/>
              <w:right w:type="dxa" w:w="140"/>
            </w:tcMar>
          </w:tcPr>
          <w:p>
            <w:pPr>
              <w:spacing w:after="0" w:line="264"/>
              <w:jc w:val="left"/>
            </w:pPr>
            <w:r>
              <w:rPr>
                <w:b w:val="false"/>
                <w:bCs w:val="false"/>
                <w:sz w:val="24"/>
                <w:szCs w:val="24"/>
              </w:rPr>
              <w:t xml:space="preserve">No independent penetration test has been commissioned to date.</w:t>
            </w:r>
          </w:p>
        </w:tc>
      </w:tr>
    </w:tbl>
    <w:p>
      <w:pPr>
        <w:spacing w:after="240"/>
      </w:pPr>
    </w:p>
    <w:p>
      <w:pPr>
        <w:spacing w:after="200" w:line="360"/>
        <w:jc w:val="both"/>
      </w:pPr>
      <w:r>
        <w:rPr>
          <w:sz w:val="28"/>
          <w:szCs w:val="28"/>
        </w:rPr>
        <w:t xml:space="preserve">Each is a roadmap item rather than a refusal. Where a procurement process requires one, it should be raised early so it can be scheduled and priced.</w:t>
      </w:r>
    </w:p>
    <w:p>
      <w:pPr>
        <w:spacing w:after="200" w:line="360"/>
        <w:jc w:val="both"/>
      </w:pPr>
      <w:r>
        <w:rPr>
          <w:b/>
          <w:bCs/>
          <w:sz w:val="28"/>
          <w:szCs w:val="28"/>
        </w:rPr>
        <w:t xml:space="preserve">Contact. </w:t>
      </w:r>
      <w:r>
        <w:rPr>
          <w:sz w:val="28"/>
          <w:szCs w:val="28"/>
        </w:rPr>
        <w:t xml:space="preserve">Questions about this document, or a security questionnaire to complete, can be directed to the Nyansa AI team through your usual contact.</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Times New Roman" w:cs="Times New Roman" w:eastAsia="Times New Roman" w:hAnsi="Times New Roman"/>
        <w:color w:val="4A4A4A"/>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2026-09-26T21:18:47.263Z</dcterms:created>
  <dcterms:modified xsi:type="dcterms:W3CDTF">2026-09-26T21:18:47.263Z</dcterms:modified>
</cp:coreProperties>
</file>

<file path=docProps/custom.xml><?xml version="1.0" encoding="utf-8"?>
<Properties xmlns="http://schemas.openxmlformats.org/officeDocument/2006/custom-properties" xmlns:vt="http://schemas.openxmlformats.org/officeDocument/2006/docPropsVTypes"/>
</file>