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MED-01  /  Revision 3</w:t>
      </w:r>
    </w:p>
    <w:p>
      <w:pPr>
        <w:pStyle w:val="Title"/>
      </w:pPr>
      <w:r>
        <w:t>Medical Review Pack</w:t>
      </w:r>
    </w:p>
    <w:p>
      <w:r>
        <w:t>Fünf ESUR-Module · Klinische Nutzung, Quellenbelege und Entscheidungen für Human Medical Affairs</w:t>
      </w:r>
    </w:p>
    <w:p>
      <w:pPr>
        <w:pStyle w:val="Heading2"/>
      </w:pPr>
      <w:r>
        <w:t>Rekonstruierter Arbeitsentwurf  |  15. Oktober 2026</w:t>
      </w:r>
    </w:p>
    <w:p>
      <w:r>
        <w:t>Nicht medizinisch freigegeben. Nicht regulatorisch bewertet. Keine Softwarefreigabe.</w:t>
      </w:r>
    </w:p>
    <w:p>
      <w:r>
        <w:t>Dieses Paket ist zur Prüfung, Kommentierung und Entscheidung bestimmt. Es ist kein klinisches Protokoll zur unmittelbaren Anwendung.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238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Prüfgrundlage</w:t>
            </w:r>
          </w:p>
        </w:tc>
        <w:tc>
          <w:tcPr>
            <w:tcW w:type="dxa" w:w="7087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Live verifizierter Referenzstand</w:t>
            </w:r>
          </w:p>
        </w:tc>
      </w:tr>
      <w:tr>
        <w:tc>
          <w:tcPr>
            <w:tcW w:type="dxa" w:w="238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Kontrolliertes Repository</w:t>
            </w:r>
          </w:p>
        </w:tc>
        <w:tc>
          <w:tcPr>
            <w:tcW w:type="dxa" w:w="708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KnoxiCoke/Esur22 · main · 52f8e9f374569c0ef27191f628a28b83581c2253  (Statusdokumentation); kontrollierte App-Codebasis weiterhin 1ebbe97b…</w:t>
            </w:r>
          </w:p>
        </w:tc>
      </w:tr>
      <w:tr>
        <w:tc>
          <w:tcPr>
            <w:tcW w:type="dxa" w:w="238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Preview / aktuelle Interaktion</w:t>
            </w:r>
          </w:p>
        </w:tc>
        <w:tc>
          <w:tcPr>
            <w:tcW w:type="dxa" w:w="708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KnoxiCoke/Esur2 · main · 188dd11f101f3d50ec9cac9095a93007876768be  (keine Medical-Freigabe)</w:t>
            </w:r>
          </w:p>
        </w:tc>
      </w:tr>
      <w:tr>
        <w:tc>
          <w:tcPr>
            <w:tcW w:type="dxa" w:w="238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Separierte Pakete</w:t>
            </w:r>
          </w:p>
        </w:tc>
        <w:tc>
          <w:tcPr>
            <w:tcW w:type="dxa" w:w="708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PR #21 Medical-Wording und PR #22 Neutral-State: beide offen Draft und nicht in Esur22/main integriert</w:t>
            </w:r>
          </w:p>
        </w:tc>
      </w:tr>
      <w:tr>
        <w:tc>
          <w:tcPr>
            <w:tcW w:type="dxa" w:w="238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Zielstatus</w:t>
            </w:r>
          </w:p>
        </w:tc>
        <w:tc>
          <w:tcPr>
            <w:tcW w:type="dxa" w:w="708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Human-Medical-Affairs-Review vorbereitet; keine Entscheidungen / Unterschriften vorweggenommen</w:t>
            </w:r>
          </w:p>
        </w:tc>
      </w:tr>
    </w:tbl>
    <w:p>
      <w:pPr>
        <w:spacing w:after="20"/>
      </w:pPr>
    </w:p>
    <w:p>
      <w:pPr>
        <w:pStyle w:val="Heading2"/>
      </w:pPr>
      <w:r>
        <w:t>Dokumentenherkunft und Grenzen</w:t>
      </w:r>
    </w:p>
    <w:p>
      <w:pPr>
        <w:pStyle w:val="ListBullet"/>
      </w:pPr>
      <w:r>
        <w:t>Rekonstruktion aus dem wiedergefundenen MED-01 Originalpaket vom 27.09.2026, dem autoritativen PROJECT_STATE.md, RA-01/RA-02/RA-03, aktuellem GitHub-Code und den drei autorisierten 2025-ESUR-PDFs.</w:t>
      </w:r>
    </w:p>
    <w:p>
      <w:pPr>
        <w:pStyle w:val="ListBullet"/>
      </w:pPr>
      <w:r>
        <w:t>Die in PROJECT_STATE.md erwähnte ursprüngliche MED-01 Revision 2 (.docx) war nicht als Datei verfügbar. Ihre dokumentierten Ergänzungen sind hier als rekonstruierte V2-Änderungen übernommen; eine Byte-genaue Wiederherstellung von V2 wird nicht behauptet.</w:t>
      </w:r>
    </w:p>
    <w:p>
      <w:pPr>
        <w:pStyle w:val="ListBullet"/>
      </w:pPr>
      <w:r>
        <w:t>Die Module F02/F05/F07/F09/F11 sind Teil dieses Human-Reviews. Practice Changes / PR #21 sind separate Reviewgegenstände; keine automatische gemeinsame Medical-Freigabe.</w:t>
      </w:r>
    </w:p>
    <w:p>
      <w:pPr>
        <w:pStyle w:val="ListBullet"/>
      </w:pPr>
      <w:r>
        <w:t>Alle medizinischen Quellenverweise beziehen sich ausschliesslich auf ESUR 2025: Booklet, HSR Part 1 und HSR Part 2. Die Dokumenttexte sind teils Review-Zusammenfassungen; sie ersetzen keine zeilenweise finale Source-QA.</w:t>
      </w:r>
    </w:p>
    <w:p>
      <w:pPr>
        <w:pStyle w:val="SmallNote"/>
      </w:pPr>
      <w:r>
        <w:t>Verbindlicher Projektstatus: https://github.com/KnoxiCoke/Esur22/blob/main/PROJECT_STATE.md</w:t>
      </w:r>
    </w:p>
    <w:p>
      <w:r>
        <w:br w:type="page"/>
      </w:r>
    </w:p>
    <w:p>
      <w:pPr>
        <w:pStyle w:val="Heading1"/>
      </w:pPr>
      <w:r>
        <w:t>1. Entscheidungsvorlage auf einen Blick</w:t>
      </w:r>
    </w:p>
    <w:p>
      <w:r>
        <w:t>Die folgenden Punkte sind für Human Medical Affairs zu klären. Die Reihenfolge ist für den Review-Workflow gedacht und keine Einstufung eines medizinischen Risikos.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/>
        </w:trPr>
        <w:tc>
          <w:tcPr>
            <w:tcW w:type="dxa" w:w="709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35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Modul</w:t>
            </w:r>
          </w:p>
        </w:tc>
        <w:tc>
          <w:tcPr>
            <w:tcW w:type="dxa" w:w="6463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Präzise offene Medical-Frage</w:t>
            </w:r>
          </w:p>
        </w:tc>
        <w:tc>
          <w:tcPr>
            <w:tcW w:type="dxa" w:w="136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09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MA-01</w:t>
            </w:r>
          </w:p>
        </w:tc>
        <w:tc>
          <w:tcPr>
            <w:tcW w:type="dxa" w:w="93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F02</w:t>
            </w:r>
          </w:p>
        </w:tc>
        <w:tc>
          <w:tcPr>
            <w:tcW w:type="dxa" w:w="6463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Geltungsbereich der sechs IHR-Pfade; bekannte/unbekannte auslösende CM bei elektiven/notfallmässigen Wegen und optionaler Notfall-Prämedikation.</w:t>
            </w:r>
          </w:p>
        </w:tc>
        <w:tc>
          <w:tcPr>
            <w:tcW w:type="dxa" w:w="13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709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MA-02</w:t>
            </w:r>
          </w:p>
        </w:tc>
        <w:tc>
          <w:tcPr>
            <w:tcW w:type="dxa" w:w="935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F05</w:t>
            </w:r>
          </w:p>
        </w:tc>
        <w:tc>
          <w:tcPr>
            <w:tcW w:type="dxa" w:w="6463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Erwachsenen-Population; realer Akut-Einsatz mit festen Angaben zu Massnahmen/Dosen/Intervallen und fehlenden individuellen Eingaben.</w:t>
            </w:r>
          </w:p>
        </w:tc>
        <w:tc>
          <w:tcPr>
            <w:tcW w:type="dxa" w:w="136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709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MA-03</w:t>
            </w:r>
          </w:p>
        </w:tc>
        <w:tc>
          <w:tcPr>
            <w:tcW w:type="dxa" w:w="93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F07</w:t>
            </w:r>
          </w:p>
        </w:tc>
        <w:tc>
          <w:tcPr>
            <w:tcW w:type="dxa" w:w="6463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Voraussetzungen und Grenzen der optionalen, nicht validierten empirischen Gruppenhinweise gegenüber Allergieabklärung und klinischen Pfaden.</w:t>
            </w:r>
          </w:p>
        </w:tc>
        <w:tc>
          <w:tcPr>
            <w:tcW w:type="dxa" w:w="13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709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MA-04</w:t>
            </w:r>
          </w:p>
        </w:tc>
        <w:tc>
          <w:tcPr>
            <w:tcW w:type="dxa" w:w="935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F09</w:t>
            </w:r>
          </w:p>
        </w:tc>
        <w:tc>
          <w:tcPr>
            <w:tcW w:type="dxa" w:w="6463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Probenzeitpunkte, Mehrfach-Akutproben, Kontext der Ergebnisinterpretation und Grenzen der zwei Zahlenfelder.</w:t>
            </w:r>
          </w:p>
        </w:tc>
        <w:tc>
          <w:tcPr>
            <w:tcW w:type="dxa" w:w="136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709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MA-05</w:t>
            </w:r>
          </w:p>
        </w:tc>
        <w:tc>
          <w:tcPr>
            <w:tcW w:type="dxa" w:w="93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</w:t>
            </w:r>
          </w:p>
        </w:tc>
        <w:tc>
          <w:tcPr>
            <w:tcW w:type="dxa" w:w="6463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Schweregrad-/Warnzeichen-Abgrenzung und Behandlung nicht zugeordneter Kombinationen.</w:t>
            </w:r>
          </w:p>
        </w:tc>
        <w:tc>
          <w:tcPr>
            <w:tcW w:type="dxa" w:w="13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709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MA-06</w:t>
            </w:r>
          </w:p>
        </w:tc>
        <w:tc>
          <w:tcPr>
            <w:tcW w:type="dxa" w:w="935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</w:t>
            </w:r>
          </w:p>
        </w:tc>
        <w:tc>
          <w:tcPr>
            <w:tcW w:type="dxa" w:w="6463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Verfügbarkeitsvorbehalt bei Allergologie; Kontrastmittelgabe und Bedingung/Reihenfolge des Mittelwechsels in Table 2 vs Fig. 4.</w:t>
            </w:r>
          </w:p>
        </w:tc>
        <w:tc>
          <w:tcPr>
            <w:tcW w:type="dxa" w:w="136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709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MA-07</w:t>
            </w:r>
          </w:p>
        </w:tc>
        <w:tc>
          <w:tcPr>
            <w:tcW w:type="dxa" w:w="93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Übergreifend</w:t>
            </w:r>
          </w:p>
        </w:tc>
        <w:tc>
          <w:tcPr>
            <w:tcW w:type="dxa" w:w="6463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Patientenpopulation, Rollen, reale Nutzung, Ausschlüsse und notwendige Benutzerhinweise je Modul.</w:t>
            </w:r>
          </w:p>
        </w:tc>
        <w:tc>
          <w:tcPr>
            <w:tcW w:type="dxa" w:w="13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SmallNote"/>
      </w:pPr>
      <w:r>
        <w:t>PENDING = keine Human-Medical-Affairs-Entscheidung eingeholt. Die Review-Zeilen sind keine freigegebenen Änderungsanweisungen.</w:t>
      </w:r>
    </w:p>
    <w:p>
      <w:r>
        <w:br w:type="page"/>
      </w:r>
    </w:p>
    <w:p>
      <w:pPr>
        <w:pStyle w:val="Heading1"/>
      </w:pPr>
      <w:r>
        <w:t>2. F02 – Previous reaction</w:t>
      </w:r>
    </w:p>
    <w:p>
      <w:pPr>
        <w:pStyle w:val="Heading2"/>
      </w:pPr>
      <w:r>
        <w:t>Vorgesehene Nutzung und technische Abgrenzung</w:t>
      </w:r>
    </w:p>
    <w:p>
      <w:r>
        <w:t>PO-Entscheidung (RA-03): freiwillige professionelle Arbeitshilfe für Radiologinnen/Radiologen und MTR zum Nachschlagen sowie zur Unterstützung realer Fälle. Die medizinische Entscheidung verbleibt beim Fachpersonal.</w:t>
      </w:r>
    </w:p>
    <w:p>
      <w:pPr>
        <w:pStyle w:val="ListBullet"/>
      </w:pPr>
      <w:r>
        <w:t>Kontrollierte Esur22-Codebasis: elektive oder Notfall-Situation und früherer Schweregrad mild/moderat/schwer führen zu sechs hinterlegten IHR-Ausgabepfaden. Es werden keine individuellen Allergietestergebnisse bzw. auslösende Substanz als zusätzliche Eingabe erhoben (MED-01 Original / RA-01).</w:t>
      </w:r>
    </w:p>
    <w:p>
      <w:pPr>
        <w:pStyle w:val="ListBullet"/>
      </w:pPr>
      <w:r>
        <w:t>Preview Esur2: bewusste Auswahl statt unbestätigtem Fallpfad bei neutralem Start dokumentiert; die Preview ist kein Ersatz für den kontrollierten Code- und Medical-Review.</w:t>
      </w:r>
    </w:p>
    <w:p>
      <w:pPr>
        <w:pStyle w:val="Heading2"/>
      </w:pPr>
      <w:r>
        <w:t>Quellenbasis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23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 / Stelle</w:t>
            </w:r>
          </w:p>
        </w:tc>
        <w:tc>
          <w:tcPr>
            <w:tcW w:type="dxa" w:w="623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Dokumentierter Zusammenhang / Review-Aufgabe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Tabelle 2 · S. 6818–6819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Vorherige IHR, Schweregrad und elektiv/notfallmässiger Kontext; Handlungsempfehlungen samt Bedingungen.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Abbildung 1 · S. 6814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Bekannter/unbekannter Auslöser im Ablauf; dieser zusätzliche Locator wurde in MED-01 V2 aufgenommen.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S. 6815–6816 und Tabelle 2 · S. 6819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Kontext zu Notfall-Prämedikation; konditionale Stärke und Populationsbezug getrennt bestätigen.</w:t>
            </w:r>
          </w:p>
        </w:tc>
      </w:tr>
    </w:tbl>
    <w:p>
      <w:pPr>
        <w:spacing w:after="20"/>
      </w:pPr>
    </w:p>
    <w:p>
      <w:pPr>
        <w:pStyle w:val="Heading2"/>
      </w:pPr>
      <w:r>
        <w:t>Human-Medical-Affairs-Entscheidungen</w:t>
      </w:r>
    </w:p>
    <w:p>
      <w:pPr>
        <w:pStyle w:val="ListBullet"/>
      </w:pPr>
      <w:r>
        <w:t>F02-A: Sind die sechs vorhandenen Pfade für reale Fälle angemessen, auch wenn Kenntnis des auslösenden Kontrastmittels nicht explizit abgefragt wird? Muss die UI bekannte/unbekannte Auslöser gesondert abbilden? (V2-Klarstellung)</w:t>
      </w:r>
    </w:p>
    <w:p>
      <w:pPr>
        <w:pStyle w:val="ListBullet"/>
      </w:pPr>
      <w:r>
        <w:t>F02-B: Sind alle Bedingungen und die Stärke der optionalen Notfall-Prämedikation im betreffenden Pfad ausdrücklich genug dargestellt? Was muss vor Ausgabe fallbezogen bestätigt werden?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2948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Medical-Entscheidung</w:t>
            </w:r>
          </w:p>
        </w:tc>
        <w:tc>
          <w:tcPr>
            <w:tcW w:type="dxa" w:w="65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Auswahl / Kommentar</w:t>
            </w:r>
          </w:p>
        </w:tc>
      </w:tr>
      <w:tr>
        <w:tc>
          <w:tcPr>
            <w:tcW w:type="dxa" w:w="2948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F02-A / F02-B getrennt kommentieren</w:t>
            </w:r>
          </w:p>
        </w:tc>
        <w:tc>
          <w:tcPr>
            <w:tcW w:type="dxa" w:w="65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( ) CONFIRM     ( ) CHANGE     ( ) NOT APPLICABLE</w:t>
              <w:br/>
              <w:br/>
              <w:t>Begründung / konkrete Korrektur / Quellenstelle:</w:t>
              <w:br/>
              <w:br/>
              <w:t>________________________________________________________________</w:t>
              <w:br/>
              <w:br/>
              <w:t>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SmallNote"/>
      </w:pPr>
      <w:r>
        <w:t>Keine zusätzlichen Auslöser-Regeln oder Prämedikationsänderungen ohne eigenständige Quellenprüfung und Human-Entscheid.</w:t>
      </w:r>
    </w:p>
    <w:p>
      <w:r>
        <w:br w:type="page"/>
      </w:r>
    </w:p>
    <w:p>
      <w:pPr>
        <w:pStyle w:val="Heading1"/>
      </w:pPr>
      <w:r>
        <w:t>3. F05 – Acute management</w:t>
      </w:r>
    </w:p>
    <w:p>
      <w:pPr>
        <w:pStyle w:val="Heading2"/>
      </w:pPr>
      <w:r>
        <w:t>Vorgesehene Nutzung und technischer Befund</w:t>
      </w:r>
    </w:p>
    <w:p>
      <w:r>
        <w:t>PO-Entscheidung (RA-03): F05 kann auch während einer laufenden akuten Reaktion als professionelle Arbeitshilfe benutzt werden; das Modul ist kein autonomes Medikamenten-/Dosierungssystem.</w:t>
      </w:r>
    </w:p>
    <w:p>
      <w:pPr>
        <w:pStyle w:val="ListBullet"/>
      </w:pPr>
      <w:r>
        <w:t>Das kontrollierte Modul zeigt allgemeine Massnahmen und nach Schweregrad / dominantem Reaktionsmuster ausgewählte Managementtexte mit festen Medikamenten-, Volumen- und Intervallangaben. Alter, Körpergewicht, Gegenanzeigen und Konzentrationsprüfung sind keine F05-Eingaben (RA-01 / MED-01 Original).</w:t>
      </w:r>
    </w:p>
    <w:p>
      <w:pPr>
        <w:pStyle w:val="ListBullet"/>
      </w:pPr>
      <w:r>
        <w:t>Die Quellenprüfung in PROJECT_STATE dokumentiert offene Klarstellungen zu einer veröffentlichten Hypotension/Prone-Positionierungsstelle sowie zur Einheit eines Salbutamol-Eintrags. Kein unabhängiger Korrekturentscheid wird in diesem Paket getroffen.</w:t>
      </w:r>
    </w:p>
    <w:p>
      <w:pPr>
        <w:pStyle w:val="Heading2"/>
      </w:pPr>
      <w:r>
        <w:t>Quellenbasis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23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 / Stelle</w:t>
            </w:r>
          </w:p>
        </w:tc>
        <w:tc>
          <w:tcPr>
            <w:tcW w:type="dxa" w:w="623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Dokumentierter Zusammenhang / Review-Aufgabe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1 · Tabelle 3 · S. 6805–6806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Akutes Management nach Reaktionsmuster, einschliesslich fester Massnahmen; Tabellenkontext bezieht sich auf Erwachsene.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1 · Abbildung 2 · S. 6804–6805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Zusätzlicher Quellenlocator für Reaktionsmuster; V2-Ergänzung aus PROJECT_STATE.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1 · Abschnitt Acute management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Populationsgrenzen, klinischer Kontext und einzelne quellenseitige Auffälligkeiten getrennt prüfen; keine stillschweigende Einheitenkorrektur.</w:t>
            </w:r>
          </w:p>
        </w:tc>
      </w:tr>
    </w:tbl>
    <w:p>
      <w:pPr>
        <w:spacing w:after="20"/>
      </w:pPr>
    </w:p>
    <w:p>
      <w:pPr>
        <w:pStyle w:val="Heading2"/>
      </w:pPr>
      <w:r>
        <w:t>Human-Medical-Affairs-Entscheidungen</w:t>
      </w:r>
    </w:p>
    <w:p>
      <w:pPr>
        <w:pStyle w:val="ListBullet"/>
      </w:pPr>
      <w:r>
        <w:t>F05-A: Gilt die reale Verwendung im Akutmodul nur für Erwachsene? Welche Patientengruppen müssen ausdrücklich eingeschlossen/ausgeschlossen bzw. an Spezialversorgung verwiesen werden? (V2-Klarstellung)</w:t>
      </w:r>
    </w:p>
    <w:p>
      <w:pPr>
        <w:pStyle w:val="ListBullet"/>
      </w:pPr>
      <w:r>
        <w:t>F05-B: Sind feste Maßnahmen/Dosen/Volumina/Intervalle, Bedingungen und Eskalationsstufen im vorgesehenen Workflow fachlich angemessen? Welche sichtbaren Voraussetzungen braucht das Tool?</w:t>
      </w:r>
    </w:p>
    <w:p>
      <w:pPr>
        <w:pStyle w:val="ListBullet"/>
      </w:pPr>
      <w:r>
        <w:t>F05-C: Wie sind die bereits dokumentierten offenen Quellenstellen zu Hypotension/Positionierung und Salbutamol-Einheit zu behandeln? Ohne Freigabe keine Text- oder Codeänderung.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2948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Medical-Entscheidung</w:t>
            </w:r>
          </w:p>
        </w:tc>
        <w:tc>
          <w:tcPr>
            <w:tcW w:type="dxa" w:w="65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Auswahl / Kommentar</w:t>
            </w:r>
          </w:p>
        </w:tc>
      </w:tr>
      <w:tr>
        <w:tc>
          <w:tcPr>
            <w:tcW w:type="dxa" w:w="2948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F05-A / F05-B / F05-C getrennt kommentieren</w:t>
            </w:r>
          </w:p>
        </w:tc>
        <w:tc>
          <w:tcPr>
            <w:tcW w:type="dxa" w:w="65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( ) CONFIRM     ( ) CHANGE     ( ) NOT APPLICABLE</w:t>
              <w:br/>
              <w:br/>
              <w:t>Begründung / konkrete Korrektur / Quellenstelle:</w:t>
              <w:br/>
              <w:br/>
              <w:t>________________________________________________________________</w:t>
              <w:br/>
              <w:br/>
              <w:t>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SmallNote"/>
      </w:pPr>
      <w:r>
        <w:t>Hinweis: Source-QA/technische Tests ersetzen keine klinische Freigabe für den Akut-Einsatz.</w:t>
      </w:r>
    </w:p>
    <w:p>
      <w:r>
        <w:br w:type="page"/>
      </w:r>
    </w:p>
    <w:p>
      <w:pPr>
        <w:pStyle w:val="Heading1"/>
      </w:pPr>
      <w:r>
        <w:t>4. F07 – Switch</w:t>
      </w:r>
    </w:p>
    <w:p>
      <w:pPr>
        <w:pStyle w:val="Heading2"/>
      </w:pPr>
      <w:r>
        <w:t>Vorgesehene Nutzung und technische Abgrenzung</w:t>
      </w:r>
    </w:p>
    <w:p>
      <w:r>
        <w:t>PO-Entscheidung (RA-03): F07 unterstützt beim Nachschlagen möglicher Gruppenalternativen in realen Fällen; die Wahl eines konkreten Kontrastmittels verbleibt beim medizinischen Fachpersonal.</w:t>
      </w:r>
    </w:p>
    <w:p>
      <w:pPr>
        <w:pStyle w:val="ListBullet"/>
      </w:pPr>
      <w:r>
        <w:t>ICM oder GBCA plus bekannte Gruppe bzw. unbekannt führen in der Preview zu einer hinterlegten Gruppe bzw. einem Hinweis bei unzureichender Datengrundlage. In der Preview beginnt F07 neutral; beim Klassenwechsel werden Gruppenwahl und aktive Schaltflächen geleert.</w:t>
      </w:r>
    </w:p>
    <w:p>
      <w:pPr>
        <w:pStyle w:val="ListBullet"/>
      </w:pPr>
      <w:r>
        <w:t>Die Ausgabe enthält bestehende Hinweise zum optionalen / nicht validierten Klassifikationsansatz und zur Priorität von Ergebnissen der allergologischen Abklärung. F07 fragt IHR/NIHR/SCAR, Schweregrad und elektiv/notfallmässige Situation nicht als eigene Eingaben ab.</w:t>
      </w:r>
    </w:p>
    <w:p>
      <w:pPr>
        <w:pStyle w:val="Heading2"/>
      </w:pPr>
      <w:r>
        <w:t>Quellenbasis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23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 / Stelle</w:t>
            </w:r>
          </w:p>
        </w:tc>
        <w:tc>
          <w:tcPr>
            <w:tcW w:type="dxa" w:w="623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Dokumentierter Zusammenhang / Review-Aufgabe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Tabelle 1 · S. 6817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Empirische Gruppenalternativen mit agent-/gruppenbezogenen Einschränkungen.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Abbildungen 2 und 3 · S. 6815–6816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ICM-/GBCA-Gruppierungen und ihre optionale, nicht validierte Einordnung.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Tabelle 2 und Text · S. 6820–6821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Klinischer Kontext, Allergieabklärung, Einschränkung praxisbasierter Wechselratschläge.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Abbildungen 1 und 4 · S. 6814 und 6822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Klinische Abläufe, die nicht mit dem isolierten Tabellen-Lookup gleichzusetzen sind.</w:t>
            </w:r>
          </w:p>
        </w:tc>
      </w:tr>
    </w:tbl>
    <w:p>
      <w:pPr>
        <w:spacing w:after="20"/>
      </w:pPr>
    </w:p>
    <w:p>
      <w:pPr>
        <w:pStyle w:val="Heading2"/>
      </w:pPr>
      <w:r>
        <w:t>Human-Medical-Affairs-Entscheidungen</w:t>
      </w:r>
    </w:p>
    <w:p>
      <w:pPr>
        <w:pStyle w:val="ListBullet"/>
      </w:pPr>
      <w:r>
        <w:t>F07-A: Für welche realen Situationen darf die isolierte Gruppenanzeige verwendet werden? Reicht der bestehende Hinweis, oder benötigt der Nutzer eine zusätzliche Scope-Erläuterung? Keine automatische Hard-Gate-Pflicht aus UX-Plausibilität ableiten.</w:t>
      </w:r>
    </w:p>
    <w:p>
      <w:pPr>
        <w:pStyle w:val="ListBullet"/>
      </w:pPr>
      <w:r>
        <w:t>F07-B: Wie muss die Überordnung der Allergieabklärung gegenüber empirischen Gruppenhinweisen formuliert sein? Welche Markennamen-/Wirkstoffzuordnungen gehören zur externen Nomenklaturschicht statt zur medizinischen Empfehlung?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2948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Medical-Entscheidung</w:t>
            </w:r>
          </w:p>
        </w:tc>
        <w:tc>
          <w:tcPr>
            <w:tcW w:type="dxa" w:w="65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Auswahl / Kommentar</w:t>
            </w:r>
          </w:p>
        </w:tc>
      </w:tr>
      <w:tr>
        <w:tc>
          <w:tcPr>
            <w:tcW w:type="dxa" w:w="2948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F07-A / F07-B getrennt kommentieren</w:t>
            </w:r>
          </w:p>
        </w:tc>
        <w:tc>
          <w:tcPr>
            <w:tcW w:type="dxa" w:w="65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( ) CONFIRM     ( ) CHANGE     ( ) NOT APPLICABLE</w:t>
              <w:br/>
              <w:br/>
              <w:t>Begründung / konkrete Korrektur / Quellenstelle:</w:t>
              <w:br/>
              <w:br/>
              <w:t>________________________________________________________________</w:t>
              <w:br/>
              <w:br/>
              <w:t>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F09 – Tryptase Rule</w:t>
      </w:r>
    </w:p>
    <w:p>
      <w:pPr>
        <w:pStyle w:val="Heading2"/>
      </w:pPr>
      <w:r>
        <w:t>Vorgesehene Nutzung und technischer Status</w:t>
      </w:r>
    </w:p>
    <w:p>
      <w:r>
        <w:t>PO-Entscheidung (RA-03): Der Rechner darf reale Werte zur bestehenden Vergleichsberechnung verarbeiten und den vorgesehenen Interpretationstext anzeigen; dies stellt keine eigenständige Diagnose dar.</w:t>
      </w:r>
    </w:p>
    <w:p>
      <w:pPr>
        <w:pStyle w:val="ListBullet"/>
      </w:pPr>
      <w:r>
        <w:t>Zwei Eingabewerte (akute Tryptase und Baseline) werden mit der im Code hinterlegten Schwelle verglichen. Für Erfassung von Entnahmezeitpunkt und Zuordnung mehrerer Akutproben ist kein eigener Workflow definiert.</w:t>
      </w:r>
    </w:p>
    <w:p>
      <w:pPr>
        <w:pStyle w:val="ListBullet"/>
      </w:pPr>
      <w:r>
        <w:t>Esur2 Preview-Commit 188dd11f: zwei technische Fehler (dezimaler Grenzwertvergleich und unbeabsichtigte Neuberechnung/alte Ergebnisse beim Sprachenwechsel) gezielt korrigiert. Node-F09-Testbericht: 67/67 PASS; Product-Owner-Screenshots bestätigen den exakten 1,1/3,32-Gleichheitsfall sowie zwei Zustandswechsel. Keine Medical-Source-QA oder globale Browser-Abnahme durch diesen Fix.</w:t>
      </w:r>
    </w:p>
    <w:p>
      <w:pPr>
        <w:pStyle w:val="Heading2"/>
      </w:pPr>
      <w:r>
        <w:t>Quellenbasis 2025 – nicht stillschweigend zusammengeführt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23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 / Stelle</w:t>
            </w:r>
          </w:p>
        </w:tc>
        <w:tc>
          <w:tcPr>
            <w:tcW w:type="dxa" w:w="623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Review-Relevanz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Tryptase-Abschnitt · S. 6812–6813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Detaillierter Probenablauf, Auswertungsformel und begrenzte Aussagekraft nicht erhöhter Werte.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Tabelle 2 · S. 6818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Messung bei moderater/schwerer IHR und späterer Baseline; tabellarische Kurzfassung.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1 · Tabelle 3 · S. 6805–6806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Akutmanagement-Bezug zur Tryptase-Entnahme; nicht aus Part 2 rekonstruiert.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ESUR Guidelines 2025 · HSR-Abschnitt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Booklet-Kontext als eigene Quelle dokumentieren, keine neue Gleichsetzung unterschiedlicher Formulierungen.</w:t>
            </w:r>
          </w:p>
        </w:tc>
      </w:tr>
    </w:tbl>
    <w:p>
      <w:pPr>
        <w:spacing w:after="20"/>
      </w:pPr>
    </w:p>
    <w:p>
      <w:pPr>
        <w:pStyle w:val="Heading2"/>
      </w:pPr>
      <w:r>
        <w:t>Human-Medical-Affairs-Entscheidungen</w:t>
      </w:r>
    </w:p>
    <w:p>
      <w:pPr>
        <w:pStyle w:val="ListBullet"/>
      </w:pPr>
      <w:r>
        <w:t>F09-A: Welche zeitlichen, analytischen und fallbezogenen Voraussetzungen müssen vor der Nutzung der akuten und Baseline-Werte erfüllt sein? Genügen vorhandene Textangaben?</w:t>
      </w:r>
    </w:p>
    <w:p>
      <w:pPr>
        <w:pStyle w:val="ListBullet"/>
      </w:pPr>
      <w:r>
        <w:t>F09-B: Wenn zwei akute Proben vorliegen, welche davon soll die Anwendung beurteilen? Die Entscheidung ist in den autorisierten Quellen nicht als Regel für einen Ein-Wert-Rechner spezifiziert: NOT SUPPORTED BY THE AUTHORIZED ESUR SOURCES. Keine automatische Priorisierung erfinden.</w:t>
      </w:r>
    </w:p>
    <w:p>
      <w:pPr>
        <w:pStyle w:val="ListBullet"/>
      </w:pPr>
      <w:r>
        <w:t>F09-C: Sind Ergebniswortlaut und Hinweis zur nicht ausschliessenden negativen Interpretation für die vorgesehene reale Nutzung angemessen?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2948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Medical-Entscheidung</w:t>
            </w:r>
          </w:p>
        </w:tc>
        <w:tc>
          <w:tcPr>
            <w:tcW w:type="dxa" w:w="65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Auswahl / Kommentar</w:t>
            </w:r>
          </w:p>
        </w:tc>
      </w:tr>
      <w:tr>
        <w:tc>
          <w:tcPr>
            <w:tcW w:type="dxa" w:w="2948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F09-A / F09-B / F09-C getrennt kommentieren</w:t>
            </w:r>
          </w:p>
        </w:tc>
        <w:tc>
          <w:tcPr>
            <w:tcW w:type="dxa" w:w="65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( ) CONFIRM     ( ) CHANGE     ( ) NOT APPLICABLE</w:t>
              <w:br/>
              <w:br/>
              <w:t>Begründung / konkrete Korrektur / Quellenstelle:</w:t>
              <w:br/>
              <w:br/>
              <w:t>________________________________________________________________</w:t>
              <w:br/>
              <w:br/>
              <w:t>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SmallNote"/>
      </w:pPr>
      <w:r>
        <w:t>Technische Abnahme des Bugfixes ≠ medizinische Prüfung der Laborinterpretation.</w:t>
      </w:r>
    </w:p>
    <w:p>
      <w:r>
        <w:br w:type="page"/>
      </w:r>
    </w:p>
    <w:p>
      <w:pPr>
        <w:pStyle w:val="Heading1"/>
      </w:pPr>
      <w:r>
        <w:t>6. F11 – NIHR Check</w:t>
      </w:r>
    </w:p>
    <w:p>
      <w:pPr>
        <w:pStyle w:val="Heading2"/>
      </w:pPr>
      <w:r>
        <w:t>Vorgesehene Nutzung und klinische Falllogik</w:t>
      </w:r>
    </w:p>
    <w:p>
      <w:r>
        <w:t>PO-Entscheidung (RA-03): F11 ist eine freiwillige Arbeitshilfe bei zurückliegender nicht unmittelbarer Kontrastmittelreaktion, wenn über weitere Diagnostik nachgedacht wird. Die Entscheidung bleibt beim Fachpersonal.</w:t>
      </w:r>
    </w:p>
    <w:p>
      <w:pPr>
        <w:pStyle w:val="ListBullet"/>
      </w:pPr>
      <w:r>
        <w:t>Preview-Eingaben: Schweregrad mild/moderat/schwer, ICM/GBCA/unbekannte Klasse, Auslöser bekannt/unbekannt und vier getrennt wählbare Warnzeichen. Initial neutral; Ausgabe erst nach den drei erforderlichen Fallmerkmalen.</w:t>
      </w:r>
    </w:p>
    <w:p>
      <w:pPr>
        <w:pStyle w:val="ListBullet"/>
      </w:pPr>
      <w:r>
        <w:t>Mild bzw. moderat ohne Warnzeichen zeigen die vorhandenen Schritte; severe mit mindestens einem Warnzeichen den SCAR-Pfad. Andere Kombinationen zeigen den bestehenden Scope-/Reassessment-Hinweis, ohne neue klinische Pfade zu erfinden.</w:t>
      </w:r>
    </w:p>
    <w:p>
      <w:pPr>
        <w:pStyle w:val="Heading2"/>
      </w:pPr>
      <w:r>
        <w:t>Quellenbasis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23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 / Stelle</w:t>
            </w:r>
          </w:p>
        </w:tc>
        <w:tc>
          <w:tcPr>
            <w:tcW w:type="dxa" w:w="623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Abgleich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Tabelle 2 · S. 6820–6821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Bedingte Anweisung zur allergologischen Empfehlung / anderem CM bei bekanntem Auslöser; moderate/milde Pfade und SCAR.</w:t>
            </w:r>
          </w:p>
        </w:tc>
      </w:tr>
      <w:tr>
        <w:tc>
          <w:tcPr>
            <w:tcW w:type="dxa" w:w="323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Abbildung 4 · S. 6822</w:t>
            </w:r>
          </w:p>
        </w:tc>
        <w:tc>
          <w:tcPr>
            <w:tcW w:type="dxa" w:w="623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Ablauf für mild/moderat ohne Warnzeichen versus schwere Reaktion mit Warnzeichen; Auslöser bekannt/unbekannt.</w:t>
            </w:r>
          </w:p>
        </w:tc>
      </w:tr>
      <w:tr>
        <w:tc>
          <w:tcPr>
            <w:tcW w:type="dxa" w:w="323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HSR Part 2 · Skin-tests-Abschnitt · S. 6813</w:t>
            </w:r>
          </w:p>
        </w:tc>
        <w:tc>
          <w:tcPr>
            <w:tcW w:type="dxa" w:w="623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Getrennt dokumentierter SCAR-Hauttestkontext; nicht mit Zeitpunkt einer Überweisung gleichsetzen.</w:t>
            </w:r>
          </w:p>
        </w:tc>
      </w:tr>
    </w:tbl>
    <w:p>
      <w:pPr>
        <w:spacing w:after="20"/>
      </w:pPr>
    </w:p>
    <w:p>
      <w:pPr>
        <w:pStyle w:val="Heading2"/>
      </w:pPr>
      <w:r>
        <w:t>Quellenvergleich: F11-QA vom 15.10.2026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178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 / Status</w:t>
            </w:r>
          </w:p>
        </w:tc>
        <w:tc>
          <w:tcPr>
            <w:tcW w:type="dxa" w:w="314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Ist-Text / Logik</w:t>
            </w:r>
          </w:p>
        </w:tc>
        <w:tc>
          <w:tcPr>
            <w:tcW w:type="dxa" w:w="4535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Source basis und offene Frage</w:t>
            </w:r>
          </w:p>
        </w:tc>
      </w:tr>
      <w:tr>
        <w:tc>
          <w:tcPr>
            <w:tcW w:type="dxa" w:w="178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F11-QA-01</w:t>
              <w:br/>
              <w:t>PARTIALLY SUPPORTED</w:t>
            </w:r>
          </w:p>
        </w:tc>
        <w:tc>
          <w:tcPr>
            <w:tcW w:type="dxa" w:w="314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EN/DE „nihr_apply_advice“: allergologische Empfehlung umsetzen (ohne „if available“).</w:t>
            </w:r>
          </w:p>
        </w:tc>
        <w:tc>
          <w:tcPr>
            <w:tcW w:type="dxa" w:w="453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Table 2 S. 6820 formuliert Alternative bei fehlender Empfehlung; Fig. 4 S. 6822 enthält explizit „If available“. Bedingung in App nicht vollständig sichtbar.</w:t>
            </w:r>
          </w:p>
        </w:tc>
      </w:tr>
      <w:tr>
        <w:tc>
          <w:tcPr>
            <w:tcW w:type="dxa" w:w="178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F11-QA-02</w:t>
              <w:br/>
              <w:t>SUPPORTED – LOGIC TRANSFORMATION</w:t>
            </w:r>
          </w:p>
        </w:tc>
        <w:tc>
          <w:tcPr>
            <w:tcW w:type="dxa" w:w="314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„nihr_choose_different“ erscheint nur, wenn das auslösende Mittel bekannt ist.</w:t>
            </w:r>
          </w:p>
        </w:tc>
        <w:tc>
          <w:tcPr>
            <w:tcW w:type="dxa" w:w="4535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Bekannter Auslöser ist Bedingung des entsprechenden Auswahlhinweises in Table 2 / Fig. 4.</w:t>
            </w:r>
          </w:p>
        </w:tc>
      </w:tr>
      <w:tr>
        <w:tc>
          <w:tcPr>
            <w:tcW w:type="dxa" w:w="178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F11-QA-03</w:t>
              <w:br/>
              <w:t>PARTIALLY SUPPORTED</w:t>
            </w:r>
          </w:p>
        </w:tc>
        <w:tc>
          <w:tcPr>
            <w:tcW w:type="dxa" w:w="314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Fig.-4-Schritt zur CM-Gabe wird in F11 nicht als eigenständige Aktion ausgegeben.</w:t>
            </w:r>
          </w:p>
        </w:tc>
        <w:tc>
          <w:tcPr>
            <w:tcW w:type="dxa" w:w="453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Fig. 4 S. 6822 zeigt „Administer ICM or GBCA“; downstream conditional monitoring alone ist keine wörtliche Wiedergabe.</w:t>
            </w:r>
          </w:p>
        </w:tc>
      </w:tr>
      <w:tr>
        <w:tc>
          <w:tcPr>
            <w:tcW w:type="dxa" w:w="178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F11-QA-04</w:t>
              <w:br/>
              <w:t>REVIEW REQUIRED</w:t>
            </w:r>
          </w:p>
        </w:tc>
        <w:tc>
          <w:tcPr>
            <w:tcW w:type="dxa" w:w="314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Bei bekanntem Auslöser erscheint in Fig. 4 ein eigener CM-Wechsel-Schritt; Table 2 bindet den Wechsel an das Fehlen allergologischen Rats.</w:t>
            </w:r>
          </w:p>
        </w:tc>
        <w:tc>
          <w:tcPr>
            <w:tcW w:type="dxa" w:w="4535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Unterschied in dargestellter Reihenfolge/Bedingung; nicht ohne Human-Entscheid als Quellenwiderspruch erklären oder harmonisieren.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6a. F11 – zu treffende Medical-Entscheidungen</w:t>
      </w:r>
    </w:p>
    <w:p>
      <w:r>
        <w:t>Diese Seite ist die konkrete Entscheidungsseite für den nach Quellenprüfung offengebliebenen F11-Text. Sie ersetzt keine fachlich bestätigte Quellenauslegung.</w:t>
      </w:r>
    </w:p>
    <w:p>
      <w:pPr>
        <w:pStyle w:val="Heading2"/>
      </w:pPr>
      <w:r>
        <w:t>Entscheidungsgrundlage, getrennt nach den beiden Source-Darstellungen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2523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 / Ort</w:t>
            </w:r>
          </w:p>
        </w:tc>
        <w:tc>
          <w:tcPr>
            <w:tcW w:type="dxa" w:w="4025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Quellenaussage und Bedingung</w:t>
            </w:r>
          </w:p>
        </w:tc>
        <w:tc>
          <w:tcPr>
            <w:tcW w:type="dxa" w:w="29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Worüber Medical entscheiden muss</w:t>
            </w:r>
          </w:p>
        </w:tc>
      </w:tr>
      <w:tr>
        <w:tc>
          <w:tcPr>
            <w:tcW w:type="dxa" w:w="2523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Part 2, Tabelle 2, S. 6820</w:t>
            </w:r>
          </w:p>
        </w:tc>
        <w:tc>
          <w:tcPr>
            <w:tcW w:type="dxa" w:w="402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Allergologischen Rat anwenden oder, wenn nicht verfügbar, bei bekanntem Auslöser ein anderes ICM/GBCA wählen.</w:t>
            </w:r>
          </w:p>
        </w:tc>
        <w:tc>
          <w:tcPr>
            <w:tcW w:type="dxa" w:w="29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Welche Bedingung muss in der F11-Ausgabe ausdrücklich stehen?</w:t>
            </w:r>
          </w:p>
        </w:tc>
      </w:tr>
      <w:tr>
        <w:tc>
          <w:tcPr>
            <w:tcW w:type="dxa" w:w="2523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Part 2, Abbildung 4, S. 6822</w:t>
            </w:r>
          </w:p>
        </w:tc>
        <w:tc>
          <w:tcPr>
            <w:tcW w:type="dxa" w:w="4025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Bekannt/unbekannt werden getrennt dargestellt; ein separater CM-Wechsel-Schritt bei bekanntem Auslöser steht vor dem gemeinsamen Schritt „If available“.</w:t>
            </w:r>
          </w:p>
        </w:tc>
        <w:tc>
          <w:tcPr>
            <w:tcW w:type="dxa" w:w="2920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Ist der sichtbare Wechsel-Schritt in der kombinierten App-Darstellung als eigenes Element aufzunehmen?</w:t>
            </w:r>
          </w:p>
        </w:tc>
      </w:tr>
      <w:tr>
        <w:tc>
          <w:tcPr>
            <w:tcW w:type="dxa" w:w="2523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Part 2, Abbildung 4, S. 6822</w:t>
            </w:r>
          </w:p>
        </w:tc>
        <w:tc>
          <w:tcPr>
            <w:tcW w:type="dxa" w:w="4025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Der gemeinsame Ablauf nennt ausser der verfügbaren Allergologie-Empfehlung explizit die CM-Gabe.</w:t>
            </w:r>
          </w:p>
        </w:tc>
        <w:tc>
          <w:tcPr>
            <w:tcW w:type="dxa" w:w="29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Wie lässt sich dies bei unbekanntem Auslöser ohne neue klinische Regel darstellen?</w:t>
            </w:r>
          </w:p>
        </w:tc>
      </w:tr>
    </w:tbl>
    <w:p>
      <w:pPr>
        <w:spacing w:after="20"/>
      </w:pPr>
    </w:p>
    <w:p>
      <w:pPr>
        <w:pStyle w:val="Heading2"/>
      </w:pPr>
      <w:r>
        <w:t>Die drei konkreten Entscheidungen</w:t>
      </w:r>
    </w:p>
    <w:p>
      <w:pPr>
        <w:pStyle w:val="ListBullet"/>
      </w:pPr>
      <w:r>
        <w:t>F11-A: Soll in EN und DE die Verfügbarkeitsbedingung („If available“ / „falls vorhanden“) ausdrücklich bei „nihr_apply_advice“ abgebildet werden?</w:t>
      </w:r>
    </w:p>
    <w:p>
      <w:pPr>
        <w:pStyle w:val="ListBullet"/>
      </w:pPr>
      <w:r>
        <w:t>F11-B: Soll und wie muss der in Abbildung 4 dargestellte CM-Gabe-Schritt für bekannten/unbekannten Auslöser erscheinen – insbesondere, wenn kein allergologischer Rat verfügbar ist? Keine neue Handlungsregel konstruieren.</w:t>
      </w:r>
    </w:p>
    <w:p>
      <w:pPr>
        <w:pStyle w:val="ListBullet"/>
      </w:pPr>
      <w:r>
        <w:t>F11-C: Welche quellengenaue Darstellung des Mittelwechsel-Schritts bei bekanntem Verursacher bewahrt sowohl Table 2 als auch Fig. 4?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2948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Medical-Entscheidung</w:t>
            </w:r>
          </w:p>
        </w:tc>
        <w:tc>
          <w:tcPr>
            <w:tcW w:type="dxa" w:w="65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Auswahl / Kommentar</w:t>
            </w:r>
          </w:p>
        </w:tc>
      </w:tr>
      <w:tr>
        <w:tc>
          <w:tcPr>
            <w:tcW w:type="dxa" w:w="2948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F11-A / F11-B / F11-C getrennt kommentieren</w:t>
            </w:r>
          </w:p>
        </w:tc>
        <w:tc>
          <w:tcPr>
            <w:tcW w:type="dxa" w:w="65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( ) CONFIRM     ( ) CHANGE     ( ) NOT APPLICABLE</w:t>
              <w:br/>
              <w:br/>
              <w:t>Begründung / konkrete Korrektur / Quellenstelle:</w:t>
              <w:br/>
              <w:br/>
              <w:t>________________________________________________________________</w:t>
              <w:br/>
              <w:br/>
              <w:t>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SmallNote"/>
      </w:pPr>
      <w:r>
        <w:t>Quellenbasis und Code-Abgleich dokumentiert in PROJECT_STATE.md, Abschnitt „F11 NIHR source wording adjudication“; keine Textkorrektur autorisiert.</w:t>
      </w:r>
    </w:p>
    <w:p>
      <w:r>
        <w:br w:type="page"/>
      </w:r>
    </w:p>
    <w:p>
      <w:pPr>
        <w:pStyle w:val="Heading1"/>
      </w:pPr>
      <w:r>
        <w:t>7. Übergreifende Bestätigung und Handoff</w:t>
      </w:r>
    </w:p>
    <w:p>
      <w:pPr>
        <w:pStyle w:val="Heading2"/>
      </w:pPr>
      <w:r>
        <w:t>Produktabsicht – bereits vom Product Owner beschrieben</w:t>
      </w:r>
    </w:p>
    <w:p>
      <w:r>
        <w:t>RA-03 ist eine Product-Owner-Zweckbestimmung als Arbeitsentwurf: professionelle radiologische Anwendung zum Lernen/Nachschlagen und zur Unterstützung realer klinischer Fälle, einschliesslich F05 während laufender Akutreaktionen. Keine autonome Diagnose-/Therapieentscheidung und keine Laiennutzung vorgesehen. Human Medical Affairs muss die medizinisch zulässige Verwendung und Grenzen bestimmen; Regulatory bewertet eine konsolidierte Zweckbestimmung später selbst.</w:t>
      </w:r>
    </w:p>
    <w:p>
      <w:pPr>
        <w:pStyle w:val="Heading2"/>
      </w:pPr>
      <w:r>
        <w:t>Gemeinsame Fragen für Human Medical Affairs</w:t>
      </w:r>
    </w:p>
    <w:p>
      <w:pPr>
        <w:pStyle w:val="ListBullet"/>
      </w:pPr>
      <w:r>
        <w:t>Population: Welche Patientengruppen, Fachrollen, Exklusionen, Voraussetzungen und lokalen Eskalationswege gelten für F02/F05/F07/F09/F11 jeweils?</w:t>
      </w:r>
    </w:p>
    <w:p>
      <w:pPr>
        <w:pStyle w:val="ListBullet"/>
      </w:pPr>
      <w:r>
        <w:t>Wording/EN-DE: Sind Konditionalität, Empfehlungstärke und Ungewissheit in beiden Sprachfassungen erhalten?</w:t>
      </w:r>
    </w:p>
    <w:p>
      <w:pPr>
        <w:pStyle w:val="ListBullet"/>
      </w:pPr>
      <w:r>
        <w:t>Schnittstellen: Welche Nutzungssituationen sollen nicht durch das Tool alleine beantwortet werden? Welche zusätzlichen Hinweise müssen vor konkreter Fallnutzung sichtbar sein?</w:t>
      </w:r>
    </w:p>
    <w:p>
      <w:pPr>
        <w:pStyle w:val="ListBullet"/>
      </w:pPr>
      <w:r>
        <w:t>Seperate Themen: Sollen die Practice-Changes-Inhalte / PR #21 später in einem eigenen Medical-Review-Paket vorgelegt werden? (Nicht Teil dieses MED-01 Entscheids.)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402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Review-Antworten</w:t>
            </w:r>
          </w:p>
        </w:tc>
        <w:tc>
          <w:tcPr>
            <w:tcW w:type="dxa" w:w="606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Eintrag durch Human Medical Affairs</w:t>
            </w:r>
          </w:p>
        </w:tc>
      </w:tr>
      <w:tr>
        <w:tc>
          <w:tcPr>
            <w:tcW w:type="dxa" w:w="3402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Bestätigte Population(en) und Ausnahmen</w:t>
            </w:r>
          </w:p>
        </w:tc>
        <w:tc>
          <w:tcPr>
            <w:tcW w:type="dxa" w:w="606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  <w:br/>
              <w:t>________________________________________________________</w:t>
              <w:br/>
              <w:t>________________________________________________________</w:t>
            </w:r>
          </w:p>
        </w:tc>
      </w:tr>
      <w:tr>
        <w:tc>
          <w:tcPr>
            <w:tcW w:type="dxa" w:w="3402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Zusätzliche Bedingungen / lokaler Kontext</w:t>
            </w:r>
          </w:p>
        </w:tc>
        <w:tc>
          <w:tcPr>
            <w:tcW w:type="dxa" w:w="606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  <w:br/>
              <w:t>________________________________________________________</w:t>
              <w:br/>
              <w:t>________________________________________________________</w:t>
            </w:r>
          </w:p>
        </w:tc>
      </w:tr>
      <w:tr>
        <w:tc>
          <w:tcPr>
            <w:tcW w:type="dxa" w:w="3402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EN/DE und Quellenlücken</w:t>
            </w:r>
          </w:p>
        </w:tc>
        <w:tc>
          <w:tcPr>
            <w:tcW w:type="dxa" w:w="606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  <w:br/>
              <w:t>________________________________________________________</w:t>
              <w:br/>
              <w:t>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Formale Review-Felder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3061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Pflichtfeld</w:t>
            </w:r>
          </w:p>
        </w:tc>
        <w:tc>
          <w:tcPr>
            <w:tcW w:type="dxa" w:w="6406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Auszufüllen</w:t>
            </w:r>
          </w:p>
        </w:tc>
      </w:tr>
      <w:tr>
        <w:tc>
          <w:tcPr>
            <w:tcW w:type="dxa" w:w="30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Name / Funktion Reviewer</w:t>
            </w:r>
          </w:p>
        </w:tc>
        <w:tc>
          <w:tcPr>
            <w:tcW w:type="dxa" w:w="640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6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Organisation / Abteilung</w:t>
            </w:r>
          </w:p>
        </w:tc>
        <w:tc>
          <w:tcPr>
            <w:tcW w:type="dxa" w:w="640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Datum / Version</w:t>
            </w:r>
          </w:p>
        </w:tc>
        <w:tc>
          <w:tcPr>
            <w:tcW w:type="dxa" w:w="640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61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Review-Entscheid</w:t>
            </w:r>
          </w:p>
        </w:tc>
        <w:tc>
          <w:tcPr>
            <w:tcW w:type="dxa" w:w="6406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( ) CONFIRM   ( ) CHANGE   ( ) REVIEW REQUIRED  ( ) NOT APPLICABLE</w:t>
            </w:r>
          </w:p>
        </w:tc>
      </w:tr>
      <w:tr>
        <w:tc>
          <w:tcPr>
            <w:tcW w:type="dxa" w:w="3061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Gültigkeit / Voraussetzungen</w:t>
            </w:r>
          </w:p>
        </w:tc>
        <w:tc>
          <w:tcPr>
            <w:tcW w:type="dxa" w:w="6406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________________________________________________________</w:t>
              <w:br/>
              <w:t>________________________________________________________</w:t>
            </w:r>
          </w:p>
        </w:tc>
      </w:tr>
    </w:tbl>
    <w:p>
      <w:pPr>
        <w:spacing w:after="20"/>
      </w:pPr>
    </w:p>
    <w:p>
      <w:pPr>
        <w:pStyle w:val="SmallNote"/>
      </w:pPr>
      <w:r>
        <w:t>Die Unterschrift/Kommentierung bezieht sich ausschliesslich auf den angegebenen Medizin-Review-Umfang. Sie bestätigt keine MDSW-/Rule-11-Klasse, keine regulatorische Konformität, keine technische Releasevalidierung und keinen Go Live.</w:t>
      </w:r>
    </w:p>
    <w:p>
      <w:r>
        <w:br w:type="page"/>
      </w:r>
    </w:p>
    <w:p>
      <w:pPr>
        <w:pStyle w:val="Heading1"/>
      </w:pPr>
      <w:r>
        <w:t>8. Provenienz und Rückverfolgbarkeit</w:t>
      </w:r>
    </w:p>
    <w:p>
      <w:pPr>
        <w:pStyle w:val="Heading2"/>
      </w:pPr>
      <w:r>
        <w:t>Kontrollierte und ergänzende Dokumente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1247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Kürzel</w:t>
            </w:r>
          </w:p>
        </w:tc>
        <w:tc>
          <w:tcPr>
            <w:tcW w:type="dxa" w:w="8220"/>
            <w:shd w:fill="18344B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Unterlage / überprüfbarer Status</w:t>
            </w:r>
          </w:p>
        </w:tc>
      </w:tr>
      <w:tr>
        <w:tc>
          <w:tcPr>
            <w:tcW w:type="dxa" w:w="124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STATE</w:t>
            </w:r>
          </w:p>
        </w:tc>
        <w:tc>
          <w:tcPr>
            <w:tcW w:type="dxa" w:w="82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Esur22/main/PROJECT_STATE.md, HEAD 52f8e9f3… (15.10.2026). Autoritativ für den interpretierten Projektstatus.</w:t>
            </w:r>
          </w:p>
        </w:tc>
      </w:tr>
      <w:tr>
        <w:tc>
          <w:tcPr>
            <w:tcW w:type="dxa" w:w="124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CODE-22</w:t>
            </w:r>
          </w:p>
        </w:tc>
        <w:tc>
          <w:tcPr>
            <w:tcW w:type="dxa" w:w="8220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Esur22/main kontrollierte App-Codebasis 1ebbe97b…; neuere State-only-Commits ändern diese Basis nicht.</w:t>
            </w:r>
          </w:p>
        </w:tc>
      </w:tr>
      <w:tr>
        <w:tc>
          <w:tcPr>
            <w:tcW w:type="dxa" w:w="124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CODE-2</w:t>
            </w:r>
          </w:p>
        </w:tc>
        <w:tc>
          <w:tcPr>
            <w:tcW w:type="dxa" w:w="82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Esur2/main 188dd11f…; Preview mit neutralen F02/F07/F11-Startzuständen und F09 technischer Fix; keine Medical-Freigabe.</w:t>
            </w:r>
          </w:p>
        </w:tc>
      </w:tr>
      <w:tr>
        <w:tc>
          <w:tcPr>
            <w:tcW w:type="dxa" w:w="124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MED V1</w:t>
            </w:r>
          </w:p>
        </w:tc>
        <w:tc>
          <w:tcPr>
            <w:tcW w:type="dxa" w:w="8220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MED-01-Medical-Review-Pack-Esur22-1ebbe97.docx (wiedergefundene Ursprungsdatei; ursprünglich 27.09.2026).</w:t>
            </w:r>
          </w:p>
        </w:tc>
      </w:tr>
      <w:tr>
        <w:tc>
          <w:tcPr>
            <w:tcW w:type="dxa" w:w="124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MED V2</w:t>
            </w:r>
          </w:p>
        </w:tc>
        <w:tc>
          <w:tcPr>
            <w:tcW w:type="dxa" w:w="82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MED-01-Medical-Review-Pack-v2-Esur22-1ebbe97.docx: nur Status/Zusammenfassung in STATE verifiziert; Ursprungsdatei nicht wiedergefunden.</w:t>
            </w:r>
          </w:p>
        </w:tc>
      </w:tr>
      <w:tr>
        <w:tc>
          <w:tcPr>
            <w:tcW w:type="dxa" w:w="124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RA</w:t>
            </w:r>
          </w:p>
        </w:tc>
        <w:tc>
          <w:tcPr>
            <w:tcW w:type="dxa" w:w="8220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RA-01 Funktionsinventar; RA-02 Intended Use Decision Sheet; RA-03 Zweckbestimmungsentwurf (PO). Entwurfscharakter.</w:t>
            </w:r>
          </w:p>
        </w:tc>
      </w:tr>
      <w:tr>
        <w:tc>
          <w:tcPr>
            <w:tcW w:type="dxa" w:w="124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SRC-B</w:t>
            </w:r>
          </w:p>
        </w:tc>
        <w:tc>
          <w:tcPr>
            <w:tcW w:type="dxa" w:w="82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Guidelines-2025-ESUR-vf.pdf (2025 Booklet).</w:t>
            </w:r>
          </w:p>
        </w:tc>
      </w:tr>
      <w:tr>
        <w:tc>
          <w:tcPr>
            <w:tcW w:type="dxa" w:w="124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SRC-1</w:t>
            </w:r>
          </w:p>
        </w:tc>
        <w:tc>
          <w:tcPr>
            <w:tcW w:type="dxa" w:w="8220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330_2025_Article_11675.pdf (2025 HSR Part 1).</w:t>
            </w:r>
          </w:p>
        </w:tc>
      </w:tr>
      <w:tr>
        <w:tc>
          <w:tcPr>
            <w:tcW w:type="dxa" w:w="1247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SRC-2</w:t>
            </w:r>
          </w:p>
        </w:tc>
        <w:tc>
          <w:tcPr>
            <w:tcW w:type="dxa" w:w="8220"/>
            <w:vAlign w:val="center"/>
            <w:shd w:fill="F4F8F9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330_2025_Article_11676.pdf (2025 HSR Part 2).</w:t>
            </w:r>
          </w:p>
        </w:tc>
      </w:tr>
      <w:tr>
        <w:tc>
          <w:tcPr>
            <w:tcW w:type="dxa" w:w="1247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PR</w:t>
            </w:r>
          </w:p>
        </w:tc>
        <w:tc>
          <w:tcPr>
            <w:tcW w:type="dxa" w:w="8220"/>
            <w:vAlign w:val="center"/>
            <w:tcBorders>
              <w:bottom w:val="single" w:color="DCE7EB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PR #21 und #22 offen Draft; ausserhalb des kontrollierten main Medical Review Pack.</w:t>
            </w:r>
          </w:p>
        </w:tc>
      </w:tr>
    </w:tbl>
    <w:p>
      <w:pPr>
        <w:spacing w:after="20"/>
      </w:pPr>
    </w:p>
    <w:p>
      <w:pPr>
        <w:pStyle w:val="Heading2"/>
      </w:pPr>
      <w:r>
        <w:t>Quellen- und Review-Methodik</w:t>
      </w:r>
    </w:p>
    <w:p>
      <w:pPr>
        <w:pStyle w:val="ListBullet"/>
      </w:pPr>
      <w:r>
        <w:t>Medizinische Textzeilen und Logik werden nicht aufgrund dieses Dokuments automatisch neu gelockt: bei jeder Umsetzung ist eine exakte Source-to-Code-Traceability mit Seite, Bedingung, Transformation und Status erforderlich.</w:t>
      </w:r>
    </w:p>
    <w:p>
      <w:pPr>
        <w:pStyle w:val="ListBullet"/>
      </w:pPr>
      <w:r>
        <w:t>Als Review-Bewertungen verwendet: DIRECTLY SUPPORTED, SUPPORTED – CLOSE PARAPHRASE, SUPPORTED – TRANSLATION, SUPPORTED – LOGIC TRANSFORMATION, PARTIALLY SUPPORTED, NOT EXPLICITLY SUPPORTED, CONTRADICTED BY SOURCE und SOURCE CONFLICT – REVIEW REQUIRED.</w:t>
      </w:r>
    </w:p>
    <w:p>
      <w:pPr>
        <w:pStyle w:val="ListBullet"/>
      </w:pPr>
      <w:r>
        <w:t>Begründete neue Entscheidungen werden nach Human-Review und separater Product-Owner-Implementierungsfreigabe behandelt. Vor einem Patch müssen betroffener GitHub-Stand, Tests und Medical-Invarianten erneut geprüft werden.</w:t>
      </w:r>
    </w:p>
    <w:p>
      <w:pPr>
        <w:pStyle w:val="Heading2"/>
      </w:pPr>
      <w:r>
        <w:t>Statusabgrenzung am Dokumentenende</w:t>
      </w:r>
    </w:p>
    <w:p>
      <w:r>
        <w:t>Source QA = Quellenprüfung; Internal Medical Lock = exakter interner Wortlaut; Human Medical Affairs = menschliche Fachentscheidung; Regulatory = separate Qualifikation/Bewertung; CI/Test = technische Qualität; Merge/Go Live = getrennte Freigabeschritte. Keine dieser Stufen wird durch MED-01 V3 automatisch erteilt.</w:t>
      </w:r>
    </w:p>
    <w:p>
      <w:pPr>
        <w:pStyle w:val="SmallNote"/>
      </w:pPr>
      <w:r>
        <w:t>V3 ist ein neu erzeugtes, konsolidiertes Prüfexemplar; keine Wiederherstellung des fehlenden V2-Originals und kein GitHub-Commit.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162" w:bottom="1106" w:left="1162" w:header="425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87A"/>
        <w:sz w:val="14"/>
      </w:rPr>
      <w:t xml:space="preserve">Rekonstruierter Review-Entwurf  ·  15.10.2026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184"/>
        <w:sz w:val="14"/>
      </w:rPr>
      <w:t>ESUR  /  MED-01 V3  /  HUMAN MEDICAL AFFAIRS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226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6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71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263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1226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ptos" w:hAnsi="Aptos"/>
      <w:color w:val="5568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MED-01 Revision 3 – ESUR Medical Review Pack</dc:title>
  <dc:subject>Reconstructed Human Medical Affairs review material – not approved</dc:subject>
  <dc:creator>ESUR Project – Draft review preparation</dc:creator>
  <cp:keywords>ESUR; MED-01; source traceability; medical affairs; 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