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0C" w:rsidRDefault="00CE2A0C" w:rsidP="00CE2A0C">
      <w:pPr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:rsidR="00CE2A0C" w:rsidRDefault="00CE2A0C" w:rsidP="00CE2A0C">
      <w:pPr>
        <w:pStyle w:val="3"/>
        <w:spacing w:after="0"/>
        <w:ind w:firstLine="709"/>
        <w:jc w:val="both"/>
        <w:rPr>
          <w:sz w:val="24"/>
          <w:szCs w:val="24"/>
        </w:rPr>
      </w:pPr>
      <w:r w:rsidRPr="00CE2A0C">
        <w:rPr>
          <w:b/>
          <w:bCs/>
          <w:color w:val="000000"/>
          <w:spacing w:val="-2"/>
          <w:sz w:val="24"/>
          <w:szCs w:val="24"/>
        </w:rPr>
        <w:t>Тема:</w:t>
      </w:r>
      <w:r>
        <w:rPr>
          <w:bCs/>
          <w:color w:val="000000"/>
          <w:spacing w:val="-2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Шифр </w:t>
      </w:r>
      <w:proofErr w:type="spellStart"/>
      <w:r>
        <w:rPr>
          <w:sz w:val="24"/>
          <w:szCs w:val="24"/>
        </w:rPr>
        <w:t>Плейфейера</w:t>
      </w:r>
      <w:proofErr w:type="spellEnd"/>
      <w:r>
        <w:rPr>
          <w:sz w:val="24"/>
          <w:szCs w:val="24"/>
        </w:rPr>
        <w:t>.</w:t>
      </w:r>
    </w:p>
    <w:p w:rsidR="00CE2A0C" w:rsidRDefault="00CE2A0C" w:rsidP="00CE2A0C">
      <w:pPr>
        <w:ind w:firstLine="709"/>
        <w:jc w:val="both"/>
      </w:pPr>
      <w:r w:rsidRPr="00CE2A0C">
        <w:rPr>
          <w:b/>
        </w:rPr>
        <w:t>Задание:</w:t>
      </w:r>
      <w:r>
        <w:t xml:space="preserve"> При использовании шифра </w:t>
      </w:r>
      <w:proofErr w:type="spellStart"/>
      <w:r>
        <w:t>Плейфейера</w:t>
      </w:r>
      <w:proofErr w:type="spellEnd"/>
      <w:r>
        <w:t xml:space="preserve"> на базе русского языка из алфавита удаляются буквы</w:t>
      </w:r>
      <w:proofErr w:type="gramStart"/>
      <w:r>
        <w:t xml:space="preserve"> Ё</w:t>
      </w:r>
      <w:proofErr w:type="gramEnd"/>
      <w:r>
        <w:t xml:space="preserve"> (заменяется буквой Е) и буква Й (заменяется буквой И). Буквы Ъ и Ь считаются одной и той же буквой. Матрица бу</w:t>
      </w:r>
      <w:proofErr w:type="gramStart"/>
      <w:r>
        <w:t>кв стр</w:t>
      </w:r>
      <w:proofErr w:type="gramEnd"/>
      <w:r>
        <w:t>оится на алфавите</w:t>
      </w:r>
    </w:p>
    <w:p w:rsidR="00CE2A0C" w:rsidRDefault="00CE2A0C" w:rsidP="00CE2A0C">
      <w:pPr>
        <w:pStyle w:val="5"/>
        <w:ind w:firstLine="709"/>
        <w:jc w:val="center"/>
        <w:rPr>
          <w:b w:val="0"/>
        </w:rPr>
      </w:pPr>
      <w:r>
        <w:rPr>
          <w:b w:val="0"/>
        </w:rPr>
        <w:t>АБВГДЕЖЗИКЛМНОПРСТУФХЦЧШЩЪЫЬЭЮЯ,</w:t>
      </w:r>
    </w:p>
    <w:p w:rsidR="00CE2A0C" w:rsidRDefault="00CE2A0C" w:rsidP="00CE2A0C">
      <w:pPr>
        <w:ind w:firstLine="709"/>
        <w:jc w:val="both"/>
      </w:pPr>
      <w:proofErr w:type="gramStart"/>
      <w:r>
        <w:t>состоящем</w:t>
      </w:r>
      <w:proofErr w:type="gramEnd"/>
      <w:r>
        <w:t xml:space="preserve"> из 31 буквы, и состоит из 5 строк и 6 столбцов. Например, матрица букв на базе ключевого слова ПАРУСНИК будет выглядеть следующим образом:</w:t>
      </w:r>
    </w:p>
    <w:p w:rsidR="00CE2A0C" w:rsidRDefault="00CE2A0C" w:rsidP="00CE2A0C">
      <w:pPr>
        <w:ind w:firstLine="709"/>
        <w:jc w:val="both"/>
      </w:pPr>
    </w:p>
    <w:tbl>
      <w:tblPr>
        <w:tblW w:w="3645" w:type="dxa"/>
        <w:jc w:val="center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607"/>
        <w:gridCol w:w="608"/>
        <w:gridCol w:w="607"/>
        <w:gridCol w:w="607"/>
        <w:gridCol w:w="608"/>
      </w:tblGrid>
      <w:tr w:rsidR="00CE2A0C" w:rsidTr="00CE2A0C">
        <w:trPr>
          <w:trHeight w:val="255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П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А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Р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У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</w:tr>
      <w:tr w:rsidR="00CE2A0C" w:rsidTr="00CE2A0C">
        <w:trPr>
          <w:trHeight w:val="255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И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Г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Д</w:t>
            </w:r>
          </w:p>
        </w:tc>
      </w:tr>
      <w:tr w:rsidR="00CE2A0C" w:rsidTr="00CE2A0C">
        <w:trPr>
          <w:trHeight w:val="255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Е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З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Л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r>
              <w:t>О</w:t>
            </w:r>
          </w:p>
        </w:tc>
      </w:tr>
      <w:tr w:rsidR="00CE2A0C" w:rsidTr="00CE2A0C">
        <w:trPr>
          <w:trHeight w:val="255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r>
              <w:t>Т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r>
              <w:t>Ф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r>
              <w:t>Х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r>
              <w:t>Ч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proofErr w:type="gramStart"/>
            <w:r>
              <w:t>Ш</w:t>
            </w:r>
            <w:proofErr w:type="gramEnd"/>
          </w:p>
        </w:tc>
      </w:tr>
      <w:tr w:rsidR="00CE2A0C" w:rsidTr="00CE2A0C">
        <w:trPr>
          <w:trHeight w:val="255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r>
              <w:t>Ъ/Ь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Э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Ю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Я</w:t>
            </w:r>
          </w:p>
        </w:tc>
      </w:tr>
    </w:tbl>
    <w:p w:rsidR="00CE2A0C" w:rsidRDefault="00CE2A0C" w:rsidP="00CE2A0C">
      <w:pPr>
        <w:ind w:firstLine="709"/>
        <w:jc w:val="both"/>
      </w:pPr>
    </w:p>
    <w:p w:rsidR="00CE2A0C" w:rsidRPr="00CE2A0C" w:rsidRDefault="00CE2A0C" w:rsidP="00CE2A0C">
      <w:pPr>
        <w:ind w:firstLine="709"/>
        <w:jc w:val="both"/>
        <w:rPr>
          <w:lang w:val="en-US"/>
        </w:rPr>
      </w:pPr>
      <w:proofErr w:type="gramStart"/>
      <w:r>
        <w:t xml:space="preserve">Возьмите из таблицы </w:t>
      </w:r>
      <w:r>
        <w:t>2</w:t>
      </w:r>
      <w:r>
        <w:t xml:space="preserve"> ключевое слово и последовательность символов, соответствующие Вашему варианту.</w:t>
      </w:r>
      <w:proofErr w:type="gramEnd"/>
      <w:r>
        <w:t xml:space="preserve"> Используя ключевое слово и шифр </w:t>
      </w:r>
      <w:proofErr w:type="spellStart"/>
      <w:r>
        <w:t>Плейфейера</w:t>
      </w:r>
      <w:proofErr w:type="spellEnd"/>
      <w:r>
        <w:t>, закодируйте фразу «КОД ПЛЕЙФЕЙЕРА ОСНОВАН НА ИСПОЛЬЗОВАНИИ МАТРИЦЫ БУКВ» и декодируйте указанную в задании последовательность символов.</w:t>
      </w:r>
    </w:p>
    <w:p w:rsidR="00CE2A0C" w:rsidRDefault="00CE2A0C" w:rsidP="00CE2A0C">
      <w:pPr>
        <w:pStyle w:val="2"/>
        <w:ind w:firstLine="709"/>
        <w:rPr>
          <w:rFonts w:ascii="Times New Roman" w:hAnsi="Times New Roman"/>
          <w:sz w:val="24"/>
          <w:lang w:val="ru-RU"/>
        </w:rPr>
      </w:pPr>
    </w:p>
    <w:p w:rsidR="00CE2A0C" w:rsidRDefault="00CE2A0C" w:rsidP="00CE2A0C">
      <w:pPr>
        <w:ind w:firstLine="425"/>
        <w:jc w:val="both"/>
        <w:rPr>
          <w:bCs/>
        </w:rPr>
      </w:pPr>
      <w:r>
        <w:rPr>
          <w:bCs/>
        </w:rPr>
        <w:t xml:space="preserve">Таблица </w:t>
      </w:r>
      <w:r>
        <w:rPr>
          <w:bCs/>
        </w:rPr>
        <w:t>2</w:t>
      </w:r>
      <w:bookmarkStart w:id="0" w:name="_GoBack"/>
      <w:bookmarkEnd w:id="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778"/>
      </w:tblGrid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B90046" w:rsidP="00CE2A0C">
            <w:pPr>
              <w:ind w:left="360"/>
            </w:pPr>
            <w:r>
              <w:t>№</w:t>
            </w:r>
          </w:p>
          <w:p w:rsidR="00B90046" w:rsidRDefault="00B90046" w:rsidP="00CE2A0C">
            <w:pPr>
              <w:ind w:left="360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B90046">
            <w:pPr>
              <w:jc w:val="both"/>
            </w:pPr>
            <w:r>
              <w:t xml:space="preserve">  Задание</w:t>
            </w:r>
          </w:p>
          <w:p w:rsidR="00B90046" w:rsidRDefault="00B90046">
            <w:pPr>
              <w:jc w:val="both"/>
            </w:pP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ПОЛЕТ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КЛКЕПЕШОБКЕРЭЛЧСКУЛЮЕТВМВКИММЮЗОТЖША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ФИЛЬМ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НПВЪЗПЖИКЛБЦРПЪПЭИЯЩЛИЗПБКФАГПШУХЭЧЖРЫВЦТУНЧТЩЧНХНЩТНЯХКДНЦВЗТЧИ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КАТЕР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ЗЛНЖКГСЩЯЪАОЕСМЩЯСОЛКДБОУЩФРКЖФТАРТЮВИОАСЫЫРМРЕПМЩ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ПАРОЛЬ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ЮОГНФПЛМКЮМВРМХИНЦШБЛГЖМУПЕАЮЖЧЗПДАМАЛНЪЖЕАДПУНЕЛСЪМЧПМЪЗЧЪЭАЩЩНТЗЗУАД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КОЛЬЦА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МИПГПДПМЖВТЩВИЕИЛРЩЧЗОЛИНЦЩХЖПЪРВЦТУОЖАЫВХУКЖЕВИ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КАМЕНЬ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РСРФЪПЧСВЛНПНЪСШТОБСХЪИЪФОПГИМФАНЪУКГЩЛНВНКХЧЪДУНЛМАХКСЛИЧТБЕУ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СОЛНЦЕ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ЗОИЦОЫИТЗУСОШЖАЦФАВЗЗКЗЧНБЗЖУКПБЕЫТЗЪЗФЩ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ТОВАРИЩ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МОЩЕЯВЧЪЛТАПЯВМОМРЗФИЫПТБКВИХБЦБЩШЪЧШЩИВТЧОАДХОПАБТИВАРМЖИ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СВЯЗЬ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ЛМЧШЮГХТЯПХООПКПЖМКЧВЦАОБФЖГКХПНЯВЖФЪЛЯНХОФЗТЪСЦПИЛФЛЪ</w:t>
            </w:r>
          </w:p>
        </w:tc>
      </w:tr>
      <w:tr w:rsidR="00CE2A0C" w:rsidTr="003F26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0C" w:rsidRDefault="00CE2A0C" w:rsidP="00CE2A0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A0C" w:rsidRDefault="00CE2A0C">
            <w:pPr>
              <w:jc w:val="both"/>
            </w:pPr>
            <w:r>
              <w:t>Ключевое слово: МАТЕРИЯ</w:t>
            </w:r>
          </w:p>
          <w:p w:rsidR="00CE2A0C" w:rsidRDefault="00CE2A0C">
            <w:pPr>
              <w:jc w:val="both"/>
            </w:pPr>
            <w:r>
              <w:t>Строка для  декодирования:</w:t>
            </w:r>
          </w:p>
          <w:p w:rsidR="00CE2A0C" w:rsidRDefault="00CE2A0C">
            <w:pPr>
              <w:jc w:val="both"/>
            </w:pPr>
            <w:r>
              <w:t>УЕНАЕЭМЧЗПФТКСЪИАРУЕПЕСЯЕХТИСЩГХМЖФЗЧБГЩКМЮАЕЪ</w:t>
            </w:r>
          </w:p>
        </w:tc>
      </w:tr>
    </w:tbl>
    <w:p w:rsidR="00CE2A0C" w:rsidRDefault="00CE2A0C" w:rsidP="00CE2A0C">
      <w:pPr>
        <w:ind w:firstLine="709"/>
        <w:rPr>
          <w:b/>
        </w:rPr>
      </w:pPr>
    </w:p>
    <w:p w:rsidR="00CE2A0C" w:rsidRDefault="00CE2A0C" w:rsidP="00CE2A0C">
      <w:pPr>
        <w:ind w:firstLine="709"/>
        <w:rPr>
          <w:bCs/>
          <w:i/>
        </w:rPr>
      </w:pPr>
      <w:r w:rsidRPr="00CE2A0C">
        <w:rPr>
          <w:b/>
        </w:rPr>
        <w:t>Пояснения:</w:t>
      </w:r>
      <w:r>
        <w:rPr>
          <w:b/>
        </w:rPr>
        <w:t xml:space="preserve"> </w:t>
      </w:r>
      <w:r>
        <w:rPr>
          <w:bCs/>
          <w:i/>
        </w:rPr>
        <w:t xml:space="preserve">Шифр </w:t>
      </w:r>
      <w:proofErr w:type="spellStart"/>
      <w:r>
        <w:rPr>
          <w:bCs/>
          <w:i/>
        </w:rPr>
        <w:t>Плейфейера</w:t>
      </w:r>
      <w:proofErr w:type="spellEnd"/>
      <w:r>
        <w:rPr>
          <w:bCs/>
          <w:i/>
        </w:rPr>
        <w:t>.</w:t>
      </w:r>
    </w:p>
    <w:p w:rsidR="00CE2A0C" w:rsidRDefault="00CE2A0C" w:rsidP="00CE2A0C">
      <w:pPr>
        <w:ind w:firstLine="709"/>
        <w:jc w:val="both"/>
      </w:pPr>
      <w:r>
        <w:t xml:space="preserve">Одним из наиболее известных шифров, базирующихся на методе многобуквенного шифрования, является шифр </w:t>
      </w:r>
      <w:proofErr w:type="spellStart"/>
      <w:r>
        <w:t>Плейфейера</w:t>
      </w:r>
      <w:proofErr w:type="spellEnd"/>
      <w:r>
        <w:t xml:space="preserve"> (</w:t>
      </w:r>
      <w:proofErr w:type="spellStart"/>
      <w:r>
        <w:rPr>
          <w:lang w:val="en-US"/>
        </w:rPr>
        <w:t>Playfair</w:t>
      </w:r>
      <w:proofErr w:type="spellEnd"/>
      <w:r>
        <w:t>), в котором биграммы открытого текста рассматриваются как самостоятельные единицы, преобразуемые в заданные биграммы шифрованного текста.</w:t>
      </w:r>
    </w:p>
    <w:p w:rsidR="00CE2A0C" w:rsidRDefault="00CE2A0C" w:rsidP="00CE2A0C">
      <w:pPr>
        <w:ind w:firstLine="709"/>
        <w:jc w:val="both"/>
      </w:pPr>
      <w:r>
        <w:t xml:space="preserve">Алгоритм </w:t>
      </w:r>
      <w:proofErr w:type="spellStart"/>
      <w:r>
        <w:t>Плейфейера</w:t>
      </w:r>
      <w:proofErr w:type="spellEnd"/>
      <w:r>
        <w:t xml:space="preserve"> основан на использовании матрицы букв размерности 5</w:t>
      </w:r>
      <w:r>
        <w:sym w:font="Symbol" w:char="F0B4"/>
      </w:r>
      <w:r>
        <w:t xml:space="preserve">5, созданной на основе некоторого ключевого слова. Матрица создается путем размещения букв, использованных в ключевом слове, слева направо и сверху вниз. Затем оставшиеся буквы алфавита размещаются в естественном порядке в оставшихся строках и столбцах матрицы. Буквы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J</w:t>
      </w:r>
      <w:r>
        <w:t xml:space="preserve"> считаются одной и той же буквой. Ниже приведен пример такой матрицы для ключевого слова </w:t>
      </w:r>
      <w:r>
        <w:rPr>
          <w:i/>
          <w:iCs/>
          <w:lang w:val="en-US"/>
        </w:rPr>
        <w:t>monarchy</w:t>
      </w:r>
      <w:r>
        <w:t xml:space="preserve"> (монархия).</w:t>
      </w:r>
    </w:p>
    <w:p w:rsidR="00CE2A0C" w:rsidRDefault="00CE2A0C" w:rsidP="00CE2A0C">
      <w:pPr>
        <w:ind w:firstLine="709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1354"/>
        <w:gridCol w:w="1353"/>
        <w:gridCol w:w="1354"/>
        <w:gridCol w:w="1354"/>
      </w:tblGrid>
      <w:tr w:rsidR="00CE2A0C" w:rsidTr="00CE2A0C">
        <w:trPr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CE2A0C" w:rsidTr="00CE2A0C">
        <w:trPr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CE2A0C" w:rsidTr="00CE2A0C">
        <w:trPr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I/J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CE2A0C" w:rsidTr="00CE2A0C">
        <w:trPr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E2A0C" w:rsidTr="00CE2A0C">
        <w:trPr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0C" w:rsidRDefault="00CE2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:rsidR="00CE2A0C" w:rsidRDefault="00CE2A0C" w:rsidP="00CE2A0C">
      <w:pPr>
        <w:ind w:firstLine="709"/>
        <w:jc w:val="both"/>
        <w:rPr>
          <w:lang w:val="en-US"/>
        </w:rPr>
      </w:pPr>
    </w:p>
    <w:p w:rsidR="00CE2A0C" w:rsidRDefault="00CE2A0C" w:rsidP="00CE2A0C">
      <w:pPr>
        <w:ind w:firstLine="709"/>
        <w:jc w:val="both"/>
      </w:pPr>
      <w:r>
        <w:t>Открытый текст шифруется порциями по две буквы в соответствии со следующими правилами.</w:t>
      </w:r>
    </w:p>
    <w:p w:rsidR="00CE2A0C" w:rsidRDefault="00CE2A0C" w:rsidP="00CE2A0C">
      <w:pPr>
        <w:numPr>
          <w:ilvl w:val="0"/>
          <w:numId w:val="2"/>
        </w:numPr>
        <w:ind w:left="0" w:firstLine="709"/>
        <w:jc w:val="both"/>
      </w:pPr>
      <w:r>
        <w:t xml:space="preserve">Если оказывается, что повторяющиеся буквы открытого текста образуют одну пару для шифрования, то между этими буквами вставляется специальная буква-заполнитель, например </w:t>
      </w:r>
      <w:r>
        <w:rPr>
          <w:i/>
          <w:iCs/>
          <w:lang w:val="en-US"/>
        </w:rPr>
        <w:t>X</w:t>
      </w:r>
      <w:r>
        <w:t xml:space="preserve">. В частности, такое слово как </w:t>
      </w:r>
      <w:r>
        <w:rPr>
          <w:i/>
          <w:iCs/>
          <w:lang w:val="en-US"/>
        </w:rPr>
        <w:t>balloon</w:t>
      </w:r>
      <w:r w:rsidRPr="00CE2A0C">
        <w:rPr>
          <w:i/>
          <w:iCs/>
        </w:rPr>
        <w:t xml:space="preserve"> </w:t>
      </w:r>
      <w:r>
        <w:t xml:space="preserve">будет преобразовано к виду </w:t>
      </w:r>
      <w:proofErr w:type="spellStart"/>
      <w:r>
        <w:rPr>
          <w:lang w:val="en-US"/>
        </w:rPr>
        <w:t>ba</w:t>
      </w:r>
      <w:proofErr w:type="spellEnd"/>
      <w:r w:rsidRPr="00CE2A0C">
        <w:t xml:space="preserve"> </w:t>
      </w:r>
      <w:r>
        <w:rPr>
          <w:lang w:val="en-US"/>
        </w:rPr>
        <w:t>lx</w:t>
      </w:r>
      <w:r w:rsidRPr="00CE2A0C">
        <w:t xml:space="preserve"> </w:t>
      </w:r>
      <w:r>
        <w:rPr>
          <w:lang w:val="en-US"/>
        </w:rPr>
        <w:t>lo</w:t>
      </w:r>
      <w:r w:rsidRPr="00CE2A0C">
        <w:t xml:space="preserve"> </w:t>
      </w:r>
      <w:r>
        <w:rPr>
          <w:lang w:val="en-US"/>
        </w:rPr>
        <w:t>on</w:t>
      </w:r>
      <w:r>
        <w:t>.</w:t>
      </w:r>
    </w:p>
    <w:p w:rsidR="00CE2A0C" w:rsidRDefault="00CE2A0C" w:rsidP="00CE2A0C">
      <w:pPr>
        <w:numPr>
          <w:ilvl w:val="0"/>
          <w:numId w:val="2"/>
        </w:numPr>
        <w:ind w:left="0" w:firstLine="709"/>
        <w:jc w:val="both"/>
      </w:pPr>
      <w:r>
        <w:t xml:space="preserve">Если буквы открытого текста попадают в одну и ту же строку матрицы, каждая из них заменяется буквой, следующей за ней в той же строке справа – с тем условием, что для замены последнего элемента строки матрицы служит первый элемент той же строки. Согласно выше построенной матрицы </w:t>
      </w:r>
      <w:r>
        <w:rPr>
          <w:lang w:val="en-US"/>
        </w:rPr>
        <w:t>AR</w:t>
      </w:r>
      <w:r>
        <w:t xml:space="preserve"> шифруется как </w:t>
      </w:r>
      <w:r>
        <w:rPr>
          <w:lang w:val="en-US"/>
        </w:rPr>
        <w:t>RM</w:t>
      </w:r>
      <w:r>
        <w:t>.</w:t>
      </w:r>
    </w:p>
    <w:p w:rsidR="00CE2A0C" w:rsidRDefault="00CE2A0C" w:rsidP="00CE2A0C">
      <w:pPr>
        <w:numPr>
          <w:ilvl w:val="0"/>
          <w:numId w:val="2"/>
        </w:numPr>
        <w:ind w:left="0" w:firstLine="709"/>
        <w:jc w:val="both"/>
      </w:pPr>
      <w:r>
        <w:t xml:space="preserve">Если буквы открытого текста попадают в один и тот же столбец матрицы, каждая из них заменяется буквой, состоящей в том же столбце сразу под ней, с тем условием, что для замены самого нижнего элемента столбца матрицы берется самый верхний элемент того же столбца. В примере выше </w:t>
      </w:r>
      <w:r>
        <w:rPr>
          <w:lang w:val="en-US"/>
        </w:rPr>
        <w:t>MU</w:t>
      </w:r>
      <w:r>
        <w:t xml:space="preserve"> шифруется как </w:t>
      </w:r>
      <w:r>
        <w:rPr>
          <w:lang w:val="en-US"/>
        </w:rPr>
        <w:t>CM</w:t>
      </w:r>
      <w:r>
        <w:t>.</w:t>
      </w:r>
    </w:p>
    <w:p w:rsidR="00CE2A0C" w:rsidRDefault="00CE2A0C" w:rsidP="00CE2A0C">
      <w:pPr>
        <w:numPr>
          <w:ilvl w:val="0"/>
          <w:numId w:val="2"/>
        </w:numPr>
        <w:ind w:left="0" w:firstLine="709"/>
        <w:jc w:val="both"/>
      </w:pPr>
      <w:r>
        <w:t xml:space="preserve">Если не выполняется ни одно из приведенных условий, каждая буква из пары букв открытого текста заменяется буквой, находящейся на пересечении содержащей эту букву строки матрицы и столбца, в котором находится вторая буква открытого текста. Например, </w:t>
      </w:r>
      <w:r>
        <w:rPr>
          <w:lang w:val="en-US"/>
        </w:rPr>
        <w:t>HS</w:t>
      </w:r>
      <w:r>
        <w:t xml:space="preserve"> шифруется как </w:t>
      </w:r>
      <w:r>
        <w:rPr>
          <w:lang w:val="en-US"/>
        </w:rPr>
        <w:t>BP</w:t>
      </w:r>
      <w:r>
        <w:t xml:space="preserve">, а </w:t>
      </w:r>
      <w:r>
        <w:rPr>
          <w:lang w:val="en-US"/>
        </w:rPr>
        <w:t>EA</w:t>
      </w:r>
      <w:r>
        <w:t xml:space="preserve"> – как </w:t>
      </w:r>
      <w:r>
        <w:rPr>
          <w:lang w:val="en-US"/>
        </w:rPr>
        <w:t>IM</w:t>
      </w:r>
      <w:r>
        <w:t xml:space="preserve"> (или </w:t>
      </w:r>
      <w:r>
        <w:rPr>
          <w:lang w:val="en-US"/>
        </w:rPr>
        <w:t>JM</w:t>
      </w:r>
      <w:r>
        <w:t>, по желанию шифровальщика).</w:t>
      </w:r>
    </w:p>
    <w:p w:rsidR="00CE2A0C" w:rsidRDefault="00CE2A0C" w:rsidP="00CE2A0C">
      <w:pPr>
        <w:ind w:firstLine="709"/>
        <w:jc w:val="both"/>
      </w:pPr>
      <w:r>
        <w:t xml:space="preserve">Шифр </w:t>
      </w:r>
      <w:proofErr w:type="spellStart"/>
      <w:r>
        <w:t>Плейфейера</w:t>
      </w:r>
      <w:proofErr w:type="spellEnd"/>
      <w:r>
        <w:t xml:space="preserve"> значительно надежнее простых </w:t>
      </w:r>
      <w:proofErr w:type="spellStart"/>
      <w:r>
        <w:t>моноалфавитных</w:t>
      </w:r>
      <w:proofErr w:type="spellEnd"/>
      <w:r>
        <w:t xml:space="preserve"> шифров. С одной стороны, букв всего 26, а биграмм - 26</w:t>
      </w:r>
      <w:r>
        <w:sym w:font="Symbol" w:char="F0B4"/>
      </w:r>
      <w:r>
        <w:t xml:space="preserve">26 = 676, и поэтому идентифицировать биграммы сложнее, чем отдельные буквы. С другой стороны, относительная частота появления отдельных букв колеблется гораздо в более широком диапазоне, чем частота появления биграмм, поэтому анализ частотности употребления биграмм тоже оказывается сложнее анализа частотности употребления букв. По этим причинам очень долго считалось, что шифр </w:t>
      </w:r>
      <w:proofErr w:type="spellStart"/>
      <w:r>
        <w:t>Плейфейера</w:t>
      </w:r>
      <w:proofErr w:type="spellEnd"/>
      <w:r>
        <w:t xml:space="preserve"> взломать невозможно. Он служил стандартом </w:t>
      </w:r>
      <w:r>
        <w:lastRenderedPageBreak/>
        <w:t>шифрования в Британской армии во время первой мировой войны и нередко применялся в армии США и союзных войсках даже в период второй мировой войны.</w:t>
      </w:r>
    </w:p>
    <w:p w:rsidR="00CE2A0C" w:rsidRDefault="00CE2A0C" w:rsidP="00CE2A0C">
      <w:pPr>
        <w:ind w:firstLine="709"/>
        <w:jc w:val="both"/>
      </w:pPr>
      <w:r>
        <w:t xml:space="preserve">Несмотря на столь высокую репутацию в прошлом, шифр </w:t>
      </w:r>
      <w:proofErr w:type="spellStart"/>
      <w:r>
        <w:t>Плейфейера</w:t>
      </w:r>
      <w:proofErr w:type="spellEnd"/>
      <w:r>
        <w:t xml:space="preserve"> на самом деле вскрыть относительно легко, так как шифрованный с его помощью те</w:t>
      </w:r>
      <w:proofErr w:type="gramStart"/>
      <w:r>
        <w:t>кст вс</w:t>
      </w:r>
      <w:proofErr w:type="gramEnd"/>
      <w:r>
        <w:t>е равно сохраняет многие статистические характеристики открытого текста. Для взлома этого шифра, как правило, достаточно иметь шифрованный текст, состоящий из нескольких сотен букв.</w:t>
      </w:r>
    </w:p>
    <w:p w:rsidR="00CE2A0C" w:rsidRPr="00CE2A0C" w:rsidRDefault="00CE2A0C" w:rsidP="00CE2A0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</w:p>
    <w:p w:rsidR="00CE2A0C" w:rsidRPr="00CE2A0C" w:rsidRDefault="00CE2A0C" w:rsidP="00CE2A0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 w:rsidRPr="00CE2A0C">
        <w:rPr>
          <w:rFonts w:ascii="Times New Roman" w:hAnsi="Times New Roman"/>
          <w:b/>
          <w:sz w:val="24"/>
          <w:lang w:val="ru-RU"/>
        </w:rPr>
        <w:t>Контрольные вопросы:</w:t>
      </w:r>
    </w:p>
    <w:p w:rsidR="00CE2A0C" w:rsidRDefault="00CE2A0C" w:rsidP="00CE2A0C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Какие ограничения для ключа в этом методе?</w:t>
      </w:r>
    </w:p>
    <w:p w:rsidR="00CE2A0C" w:rsidRDefault="00CE2A0C" w:rsidP="00CE2A0C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создаётся матрица?</w:t>
      </w:r>
    </w:p>
    <w:p w:rsidR="00CE2A0C" w:rsidRDefault="00CE2A0C" w:rsidP="00CE2A0C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шифруется открытый текст?</w:t>
      </w:r>
    </w:p>
    <w:p w:rsidR="00CE2A0C" w:rsidRDefault="00CE2A0C" w:rsidP="00CE2A0C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восстанавливается сообщение при дешифрации?</w:t>
      </w:r>
    </w:p>
    <w:p w:rsidR="00CE2A0C" w:rsidRDefault="00CE2A0C" w:rsidP="00CE2A0C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шифрации.</w:t>
      </w:r>
    </w:p>
    <w:p w:rsidR="00CE2A0C" w:rsidRDefault="00CE2A0C" w:rsidP="00CE2A0C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дешифрации.</w:t>
      </w:r>
    </w:p>
    <w:p w:rsidR="00CE2A0C" w:rsidRDefault="00CE2A0C" w:rsidP="00CE2A0C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Анализ метода.</w:t>
      </w:r>
    </w:p>
    <w:p w:rsidR="000F0F6F" w:rsidRDefault="000F0F6F"/>
    <w:p w:rsidR="00CE2A0C" w:rsidRDefault="00CE2A0C" w:rsidP="00CE2A0C">
      <w:pPr>
        <w:ind w:firstLine="709"/>
        <w:rPr>
          <w:b/>
        </w:rPr>
      </w:pPr>
      <w:r>
        <w:rPr>
          <w:b/>
        </w:rPr>
        <w:t>Содержание отчета</w:t>
      </w:r>
      <w:r>
        <w:rPr>
          <w:b/>
        </w:rPr>
        <w:t>: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Цель работы.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Алгоритм шифрации и дешифрации по заданному методу, который реализует разработанная программа.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Описание программы.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разработанной программы.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данного метода.</w:t>
      </w:r>
    </w:p>
    <w:p w:rsidR="00CE2A0C" w:rsidRDefault="00CE2A0C"/>
    <w:sectPr w:rsidR="00CE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293E"/>
    <w:multiLevelType w:val="hybridMultilevel"/>
    <w:tmpl w:val="C1C2A820"/>
    <w:lvl w:ilvl="0" w:tplc="BD7CE6E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F41ED"/>
    <w:multiLevelType w:val="hybridMultilevel"/>
    <w:tmpl w:val="E070C8C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BE026BF"/>
    <w:multiLevelType w:val="singleLevel"/>
    <w:tmpl w:val="33EE9D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3">
    <w:nsid w:val="675B530D"/>
    <w:multiLevelType w:val="hybridMultilevel"/>
    <w:tmpl w:val="AE2AEB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B4"/>
    <w:rsid w:val="000F0F6F"/>
    <w:rsid w:val="003B53FE"/>
    <w:rsid w:val="003F262A"/>
    <w:rsid w:val="00462DB4"/>
    <w:rsid w:val="004D54E2"/>
    <w:rsid w:val="00B90046"/>
    <w:rsid w:val="00C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2013-09-09T18:30:00Z</dcterms:created>
  <dcterms:modified xsi:type="dcterms:W3CDTF">2013-09-09T18:43:00Z</dcterms:modified>
</cp:coreProperties>
</file>