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Soil respiration in riparian alder stands</w:t>
      </w:r>
    </w:p>
    <w:p>
      <w:r>
        <w:t>We measured soil respiration at 14 sites over two summers (Smith et al., 2020).</w:t>
      </w:r>
    </w:p>
    <w:p>
      <w:r>
        <w:t>Temperature explained about half of the variance [2].</w:t>
      </w:r>
    </w:p>
    <w:p>
      <w:pPr>
        <w:pStyle w:val="Heading1"/>
      </w:pPr>
      <w:r>
        <w:t>References</w:t>
      </w:r>
    </w:p>
    <w:p>
      <w:r>
        <w:t>Smith, J., &amp; Lee, K. (2020). Soil carbon fluxes. Ecology, 101(3), 1-12.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