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sz w:val="32"/>
          <w:szCs w:val="32"/>
        </w:rPr>
        <w:t xml:space="preserve">Regime-Adaptive Distribution-Free Calibration</w:t>
      </w:r>
    </w:p>
    <w:p>
      <w:pPr>
        <w:spacing w:after="200"/>
        <w:jc w:val="center"/>
      </w:pPr>
      <w:r>
        <w:rPr>
          <w:rFonts w:ascii="Times New Roman" w:cs="Times New Roman" w:eastAsia="Times New Roman" w:hAnsi="Times New Roman"/>
          <w:b/>
          <w:bCs/>
          <w:sz w:val="32"/>
          <w:szCs w:val="32"/>
        </w:rPr>
        <w:t xml:space="preserve">for Financial Tail Risk</w:t>
      </w:r>
    </w:p>
    <w:p>
      <w:pPr>
        <w:spacing w:after="100"/>
        <w:jc w:val="center"/>
      </w:pPr>
      <w:r>
        <w:rPr>
          <w:rFonts w:ascii="Times New Roman" w:cs="Times New Roman" w:eastAsia="Times New Roman" w:hAnsi="Times New Roman"/>
          <w:i/>
          <w:iCs/>
          <w:sz w:val="22"/>
          <w:szCs w:val="22"/>
        </w:rPr>
        <w:t xml:space="preserve">Working Paper, March 2026 (revised October 2026)</w:t>
      </w:r>
    </w:p>
    <w:p>
      <w:pPr>
        <w:spacing w:after="400"/>
      </w:pPr>
    </w:p>
    <w:p>
      <w:pPr>
        <w:pStyle w:val="Heading1"/>
        <w:spacing w:after="160" w:before="280"/>
      </w:pPr>
      <w:r>
        <w:rPr>
          <w:rFonts w:ascii="Times New Roman" w:cs="Times New Roman" w:eastAsia="Times New Roman" w:hAnsi="Times New Roman"/>
          <w:b/>
          <w:bCs/>
          <w:sz w:val="28"/>
          <w:szCs w:val="28"/>
        </w:rPr>
        <w:t xml:space="preserve">Abstract</w:t>
      </w:r>
    </w:p>
    <w:p>
      <w:pPr>
        <w:spacing w:after="120" w:line="276"/>
        <w:jc w:val="both"/>
      </w:pPr>
      <w:r>
        <w:rPr>
          <w:rFonts w:ascii="Times New Roman" w:cs="Times New Roman" w:eastAsia="Times New Roman" w:hAnsi="Times New Roman"/>
          <w:sz w:val="22"/>
          <w:szCs w:val="22"/>
        </w:rPr>
        <w:t xml:space="preserve">We propose a model-agnostic calibration layer for one-sided tail-risk forecasts that provides finite-sample coverage guarantees under heavy tails, temporal dependence, and regime shift. Given any base Value-at-Risk (VaR) forecaster, our method computes calibration residuals, weights them by both exponential time-decay and a regime-similarity kernel derived from observable market features, and inflates the resulting weighted quantile by a correction term derived from the Dvoretzky–Kiefer–Wolfowitz (DKW) inequality scaled to the effective sample size. We give proof sketches for one-sided validity under weighted exchangeability, simultaneous multi-level control across tail levels via a union-bound budget, and a drift-robustness bound decomposing calibration error into weighted empirical-process error, regime mismatch, and base-model estimation error.</w:t>
      </w:r>
    </w:p>
    <w:p>
      <w:pPr>
        <w:spacing w:after="120" w:line="276"/>
        <w:jc w:val="both"/>
      </w:pPr>
      <w:r>
        <w:rPr>
          <w:rFonts w:ascii="Times New Roman" w:cs="Times New Roman" w:eastAsia="Times New Roman" w:hAnsi="Times New Roman"/>
          <w:sz w:val="22"/>
          <w:szCs w:val="22"/>
        </w:rPr>
        <w:t xml:space="preserve">Experiments on synthetic data (i.i.d. heavy tails, GARCH, Markov-switching regimes, jump-diffusion) and on synthetic assets modelled on SPY, QQQ, IWM, GLD, TLT, and BTC-USD show that at the 99% level the full layer moves every EWMA forecast closer to its target, brings historical simulation within the Kupiec acceptance region on all six asset profiles, and cuts historical-simulation exceedances under GARCH dynamics from 3.13% to 0.88%; where historical simulation is already close to target, calibration moves it away. At the 200-day calibration windows used here the DKW term saturates, so the calibrated forecast is close to the base forecast plus the largest calibration residual, and 95% VaR is far more conservative than required. Ablations show that time-decay weighting on its own is the best-behaved variant across both tail levels, while regime weighting without inflation increases exceedances.</w:t>
      </w:r>
    </w:p>
    <w:p>
      <w:r>
        <w:br w:type="page"/>
      </w:r>
    </w:p>
    <w:p>
      <w:pPr>
        <w:pStyle w:val="Heading1"/>
        <w:spacing w:after="160" w:before="280"/>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sz w:val="22"/>
          <w:szCs w:val="22"/>
        </w:rPr>
        <w:t xml:space="preserve">Accurate tail-risk forecasting is a cornerstone of financial risk management. Value-at-Risk (VaR) remains the dominant metric for regulatory capital requirements and internal risk budgeting, yet its reliability depends critically on the calibration of the underlying probability model. In practice, VaR forecasts produced by parametric models (GARCH, EWMA), historical simulation, or machine-learning quantile regressors are frequently miscalibrated: they underestimate losses during market crises and overestimate them during calm regimes. This miscalibration arises from three structural sources: heavy tails in financial returns, temporal dependence and volatility clustering, and regime shifts that violate stationarity assumptions.</w:t>
      </w:r>
    </w:p>
    <w:p>
      <w:pPr>
        <w:spacing w:after="120" w:line="276"/>
        <w:jc w:val="both"/>
      </w:pPr>
      <w:r>
        <w:rPr>
          <w:rFonts w:ascii="Times New Roman" w:cs="Times New Roman" w:eastAsia="Times New Roman" w:hAnsi="Times New Roman"/>
          <w:sz w:val="22"/>
          <w:szCs w:val="22"/>
        </w:rPr>
        <w:t xml:space="preserve">Recent advances in conformal prediction and distribution-free inference offer a principled framework for post-hoc calibration without distributional assumptions. However, standard conformal methods assume exchangeability of calibration data, an assumption violated by financial time series exhibiting autocorrelation, volatility persistence, and structural breaks. Emerging work on temporal conformal prediction and weighted conformal inference relaxes exchangeability to weighted exchangeability, enabling calibration under non-stationarity, but existing implementations focus on symmetric prediction intervals rather than one-sided tail forecasts, and rarely incorporate regime-awareness into the weighting scheme.</w:t>
      </w:r>
    </w:p>
    <w:p>
      <w:pPr>
        <w:spacing w:after="120" w:line="276"/>
        <w:jc w:val="both"/>
      </w:pPr>
      <w:r>
        <w:rPr>
          <w:rFonts w:ascii="Times New Roman" w:cs="Times New Roman" w:eastAsia="Times New Roman" w:hAnsi="Times New Roman"/>
          <w:sz w:val="22"/>
          <w:szCs w:val="22"/>
        </w:rPr>
        <w:t xml:space="preserve">This paper makes the following contributions. First, we formulate a one-sided calibration layer for tail-risk forecasts that wraps any base VaR model as a lightweight post-hoc correction. Second, we introduce a regime-adaptive weighting scheme combining exponential time-decay with a kernel-based regime similarity measure computed from observable market features. Third, we derive a finite-sample inflation term based on the DKW inequality scaled to the effective sample size of the weighted calibration set, providing rigorous coverage control. Fourth, we extend the framework to simultaneous multi-level control across multiple VaR tail levels using a union-bound budget allocation. Fifth, we enforce monotonicity across tail levels via isotonic projection.</w:t>
      </w:r>
    </w:p>
    <w:p>
      <w:pPr>
        <w:pStyle w:val="Heading1"/>
        <w:spacing w:after="160" w:before="280"/>
      </w:pPr>
      <w:r>
        <w:rPr>
          <w:rFonts w:ascii="Times New Roman" w:cs="Times New Roman" w:eastAsia="Times New Roman" w:hAnsi="Times New Roman"/>
          <w:b/>
          <w:bCs/>
          <w:sz w:val="28"/>
          <w:szCs w:val="28"/>
        </w:rPr>
        <w:t xml:space="preserve">2. Related Work</w:t>
      </w:r>
    </w:p>
    <w:p>
      <w:pPr>
        <w:pStyle w:val="Heading2"/>
        <w:spacing w:after="160" w:before="280"/>
      </w:pPr>
      <w:r>
        <w:rPr>
          <w:rFonts w:ascii="Times New Roman" w:cs="Times New Roman" w:eastAsia="Times New Roman" w:hAnsi="Times New Roman"/>
          <w:b/>
          <w:bCs/>
          <w:sz w:val="24"/>
          <w:szCs w:val="24"/>
        </w:rPr>
        <w:t xml:space="preserve">2.1 Parametric and Historical VaR</w:t>
      </w:r>
    </w:p>
    <w:p>
      <w:pPr>
        <w:spacing w:after="120" w:line="276"/>
        <w:jc w:val="both"/>
      </w:pPr>
      <w:r>
        <w:rPr>
          <w:rFonts w:ascii="Times New Roman" w:cs="Times New Roman" w:eastAsia="Times New Roman" w:hAnsi="Times New Roman"/>
          <w:sz w:val="22"/>
          <w:szCs w:val="22"/>
        </w:rPr>
        <w:t xml:space="preserve">The classical VaR literature spans parametric approaches (RiskMetrics EWMA, GARCH family models with Gaussian or Student-t innovations), historical simulation, and filtered historical simulation. These methods make strong distributional or stationarity assumptions that are routinely violated during market stress episodes. The Kupiec (1995) and Christoffersen (1998) backtesting frameworks remain the standard for evaluating VaR model adequacy, testing unconditional coverage and the independence of violations respectively.</w:t>
      </w:r>
    </w:p>
    <w:p>
      <w:pPr>
        <w:pStyle w:val="Heading2"/>
        <w:spacing w:after="160" w:before="280"/>
      </w:pPr>
      <w:r>
        <w:rPr>
          <w:rFonts w:ascii="Times New Roman" w:cs="Times New Roman" w:eastAsia="Times New Roman" w:hAnsi="Times New Roman"/>
          <w:b/>
          <w:bCs/>
          <w:sz w:val="24"/>
          <w:szCs w:val="24"/>
        </w:rPr>
        <w:t xml:space="preserve">2.2 Nonparametric Quantile Intervals</w:t>
      </w:r>
    </w:p>
    <w:p>
      <w:pPr>
        <w:spacing w:after="120" w:line="276"/>
        <w:jc w:val="both"/>
      </w:pPr>
      <w:r>
        <w:rPr>
          <w:rFonts w:ascii="Times New Roman" w:cs="Times New Roman" w:eastAsia="Times New Roman" w:hAnsi="Times New Roman"/>
          <w:sz w:val="22"/>
          <w:szCs w:val="22"/>
        </w:rPr>
        <w:t xml:space="preserve">Order-statistic-based confidence intervals for population quantiles have a long history in nonparametric statistics. The Dvoretzky–Kiefer–Wolfowitz (DKW) inequality bounds the supremum deviation of the empirical CDF from the true CDF, yielding simultaneous confidence bands for all quantiles. These results assume i.i.d. data and do not directly accommodate dependence or non-stationarity.</w:t>
      </w:r>
    </w:p>
    <w:p>
      <w:pPr>
        <w:pStyle w:val="Heading2"/>
        <w:spacing w:after="160" w:before="280"/>
      </w:pPr>
      <w:r>
        <w:rPr>
          <w:rFonts w:ascii="Times New Roman" w:cs="Times New Roman" w:eastAsia="Times New Roman" w:hAnsi="Times New Roman"/>
          <w:b/>
          <w:bCs/>
          <w:sz w:val="24"/>
          <w:szCs w:val="24"/>
        </w:rPr>
        <w:t xml:space="preserve">2.3 Conformal Prediction and Risk Control</w:t>
      </w:r>
    </w:p>
    <w:p>
      <w:pPr>
        <w:spacing w:after="120" w:line="276"/>
        <w:jc w:val="both"/>
      </w:pPr>
      <w:r>
        <w:rPr>
          <w:rFonts w:ascii="Times New Roman" w:cs="Times New Roman" w:eastAsia="Times New Roman" w:hAnsi="Times New Roman"/>
          <w:sz w:val="22"/>
          <w:szCs w:val="22"/>
        </w:rPr>
        <w:t xml:space="preserve">Conformal prediction provides distribution-free prediction sets with finite-sample marginal coverage guarantees under exchangeability. Split conformal prediction is computationally efficient and model-agnostic. Conformal risk control generalises conformal prediction to control arbitrary monotone loss functions. These methods have been applied to regression, classification, and survival analysis, but applications to one-sided financial tail-risk forecasting remain sparse.</w:t>
      </w:r>
    </w:p>
    <w:p>
      <w:pPr>
        <w:pStyle w:val="Heading2"/>
        <w:spacing w:after="160" w:before="280"/>
      </w:pPr>
      <w:r>
        <w:rPr>
          <w:rFonts w:ascii="Times New Roman" w:cs="Times New Roman" w:eastAsia="Times New Roman" w:hAnsi="Times New Roman"/>
          <w:b/>
          <w:bCs/>
          <w:sz w:val="24"/>
          <w:szCs w:val="24"/>
        </w:rPr>
        <w:t xml:space="preserve">2.4 Nonstationary and Weighted Conformal Calibration</w:t>
      </w:r>
    </w:p>
    <w:p>
      <w:pPr>
        <w:spacing w:after="120" w:line="276"/>
        <w:jc w:val="both"/>
      </w:pPr>
      <w:r>
        <w:rPr>
          <w:rFonts w:ascii="Times New Roman" w:cs="Times New Roman" w:eastAsia="Times New Roman" w:hAnsi="Times New Roman"/>
          <w:sz w:val="22"/>
          <w:szCs w:val="22"/>
        </w:rPr>
        <w:t xml:space="preserve">Recent work extends conformal prediction to non-exchangeable settings using weighted likelihood ratios or tilted exponential weights. Temporal Conformal Prediction explicitly addresses time-series nonstationarity by adaptively weighting calibration scores. Weighted DKW-type bounds for weighted empirical CDF control provide the theoretical foundation for finite-sample guarantees in the weighted setting. Our work builds directly on this line of research, combining weighted conformal calibration with regime-awareness and DKW-based inflation for one-sided tail-risk applications.</w:t>
      </w:r>
    </w:p>
    <w:p>
      <w:r>
        <w:br w:type="page"/>
      </w:r>
    </w:p>
    <w:p>
      <w:pPr>
        <w:pStyle w:val="Heading1"/>
        <w:spacing w:after="160" w:before="280"/>
      </w:pPr>
      <w:r>
        <w:rPr>
          <w:rFonts w:ascii="Times New Roman" w:cs="Times New Roman" w:eastAsia="Times New Roman" w:hAnsi="Times New Roman"/>
          <w:b/>
          <w:bCs/>
          <w:sz w:val="28"/>
          <w:szCs w:val="28"/>
        </w:rPr>
        <w:t xml:space="preserve">3. Problem Setup</w:t>
      </w:r>
    </w:p>
    <w:p>
      <w:pPr>
        <w:spacing w:after="120" w:line="276"/>
        <w:jc w:val="both"/>
      </w:pPr>
      <w:r>
        <w:rPr>
          <w:rFonts w:ascii="Times New Roman" w:cs="Times New Roman" w:eastAsia="Times New Roman" w:hAnsi="Times New Roman"/>
          <w:sz w:val="22"/>
          <w:szCs w:val="22"/>
        </w:rPr>
        <w:t xml:space="preserve">Let r_t denote the daily log-return of a financial asset at time t. Define losses as L_t = −r_t, so that positive L_t corresponds to a market decline. For a given tail level p (e.g., p = 0.05 for 95% VaR or p = 0.01 for 99% VaR), the one-day-ahead VaR at level 1−p is the smallest threshold q such that P(L_t &gt; q) ≤ p.</w:t>
      </w:r>
    </w:p>
    <w:p>
      <w:pPr>
        <w:spacing w:after="120" w:line="276"/>
        <w:jc w:val="both"/>
      </w:pPr>
      <w:r>
        <w:rPr>
          <w:rFonts w:ascii="Times New Roman" w:cs="Times New Roman" w:eastAsia="Times New Roman" w:hAnsi="Times New Roman"/>
          <w:sz w:val="22"/>
          <w:szCs w:val="22"/>
        </w:rPr>
        <w:t xml:space="preserve">A base forecaster produces VaR estimates q̂_t^(p) using information available at time t−1. The base forecaster may be parametric (GARCH, EWMA), nonparametric (historical simulation), or machine-learning-based (quantile regression, gradient-boosted quantile regression). We do not assume the base forecaster is correctly specified.</w:t>
      </w:r>
    </w:p>
    <w:p>
      <w:pPr>
        <w:pStyle w:val="Heading2"/>
        <w:spacing w:after="160" w:before="280"/>
      </w:pPr>
      <w:r>
        <w:rPr>
          <w:rFonts w:ascii="Times New Roman" w:cs="Times New Roman" w:eastAsia="Times New Roman" w:hAnsi="Times New Roman"/>
          <w:b/>
          <w:bCs/>
          <w:sz w:val="24"/>
          <w:szCs w:val="24"/>
        </w:rPr>
        <w:t xml:space="preserve">3.1 Calibration Residuals</w:t>
      </w:r>
    </w:p>
    <w:p>
      <w:pPr>
        <w:spacing w:after="120" w:line="276"/>
        <w:jc w:val="both"/>
      </w:pPr>
      <w:r>
        <w:rPr>
          <w:rFonts w:ascii="Times New Roman" w:cs="Times New Roman" w:eastAsia="Times New Roman" w:hAnsi="Times New Roman"/>
          <w:sz w:val="22"/>
          <w:szCs w:val="22"/>
        </w:rPr>
        <w:t xml:space="preserve">Define calibration residuals as e_i^(p) = L_i − q̂_i^(p). Positive residuals indicate underestimation: the actual loss exceeded the forecast. The empirical distribution of these residuals on a held-out calibration window captures the systematic bias of the base forecaster.</w:t>
      </w:r>
    </w:p>
    <w:p>
      <w:pPr>
        <w:pStyle w:val="Heading2"/>
        <w:spacing w:after="160" w:before="280"/>
      </w:pPr>
      <w:r>
        <w:rPr>
          <w:rFonts w:ascii="Times New Roman" w:cs="Times New Roman" w:eastAsia="Times New Roman" w:hAnsi="Times New Roman"/>
          <w:b/>
          <w:bCs/>
          <w:sz w:val="24"/>
          <w:szCs w:val="24"/>
        </w:rPr>
        <w:t xml:space="preserve">3.2 Regime Features</w:t>
      </w:r>
    </w:p>
    <w:p>
      <w:pPr>
        <w:spacing w:after="120" w:line="276"/>
        <w:jc w:val="both"/>
      </w:pPr>
      <w:r>
        <w:rPr>
          <w:rFonts w:ascii="Times New Roman" w:cs="Times New Roman" w:eastAsia="Times New Roman" w:hAnsi="Times New Roman"/>
          <w:sz w:val="22"/>
          <w:szCs w:val="22"/>
        </w:rPr>
        <w:t xml:space="preserve">To capture market regime information without relying on proprietary data, we construct a feature vector z_t from observable return statistics: rolling 5-day and 20-day annualised volatility, rolling 20-day downside semivolatility, rolling 60-day maximum drawdown, rolling 60-day skewness, rolling 60-day excess kurtosis, and the absolute lagged return. These features are z-score normalised and clipped to avoid extreme values.</w:t>
      </w:r>
    </w:p>
    <w:p>
      <w:pPr>
        <w:pStyle w:val="Heading1"/>
        <w:spacing w:after="160" w:before="280"/>
      </w:pPr>
      <w:r>
        <w:rPr>
          <w:rFonts w:ascii="Times New Roman" w:cs="Times New Roman" w:eastAsia="Times New Roman" w:hAnsi="Times New Roman"/>
          <w:b/>
          <w:bCs/>
          <w:sz w:val="28"/>
          <w:szCs w:val="28"/>
        </w:rPr>
        <w:t xml:space="preserve">4. Method</w:t>
      </w:r>
    </w:p>
    <w:p>
      <w:pPr>
        <w:pStyle w:val="Heading2"/>
        <w:spacing w:after="160" w:before="280"/>
      </w:pPr>
      <w:r>
        <w:rPr>
          <w:rFonts w:ascii="Times New Roman" w:cs="Times New Roman" w:eastAsia="Times New Roman" w:hAnsi="Times New Roman"/>
          <w:b/>
          <w:bCs/>
          <w:sz w:val="24"/>
          <w:szCs w:val="24"/>
        </w:rPr>
        <w:t xml:space="preserve">4.1 Weighted Calibration Weights</w:t>
      </w:r>
    </w:p>
    <w:p>
      <w:pPr>
        <w:spacing w:after="120" w:line="276"/>
        <w:jc w:val="both"/>
      </w:pPr>
      <w:r>
        <w:rPr>
          <w:rFonts w:ascii="Times New Roman" w:cs="Times New Roman" w:eastAsia="Times New Roman" w:hAnsi="Times New Roman"/>
          <w:sz w:val="22"/>
          <w:szCs w:val="22"/>
        </w:rPr>
        <w:t xml:space="preserve">For a test time t, we assign weights to each calibration point i combining exponential time-decay and regime similarity:</w:t>
      </w:r>
    </w:p>
    <w:p>
      <w:pPr>
        <w:spacing w:after="100" w:before="100"/>
        <w:jc w:val="center"/>
      </w:pPr>
      <w:r>
        <w:rPr>
          <w:rFonts w:ascii="Cambria Math" w:cs="Cambria Math" w:eastAsia="Cambria Math" w:hAnsi="Cambria Math"/>
          <w:i/>
          <w:iCs/>
          <w:sz w:val="22"/>
          <w:szCs w:val="22"/>
        </w:rPr>
        <w:t xml:space="preserve">w_{i,t} ∝ exp(−λ(t−i)) · exp(−γ ‖z_i − z_t‖²)</w:t>
      </w:r>
    </w:p>
    <w:p>
      <w:pPr>
        <w:spacing w:after="120" w:line="276"/>
        <w:jc w:val="both"/>
      </w:pPr>
      <w:r>
        <w:rPr>
          <w:rFonts w:ascii="Times New Roman" w:cs="Times New Roman" w:eastAsia="Times New Roman" w:hAnsi="Times New Roman"/>
          <w:sz w:val="22"/>
          <w:szCs w:val="22"/>
        </w:rPr>
        <w:t xml:space="preserve">where λ controls the time-decay rate and γ controls the regime-kernel bandwidth. Weights are normalised to sum to one. The effective sample size is n_eff(t) = (Σ w_i)^2 / Σ w_i^2, which equals 1/Σ w_i^2 for normalised weights.</w:t>
      </w:r>
    </w:p>
    <w:p>
      <w:pPr>
        <w:pStyle w:val="Heading2"/>
        <w:spacing w:after="160" w:before="280"/>
      </w:pPr>
      <w:r>
        <w:rPr>
          <w:rFonts w:ascii="Times New Roman" w:cs="Times New Roman" w:eastAsia="Times New Roman" w:hAnsi="Times New Roman"/>
          <w:b/>
          <w:bCs/>
          <w:sz w:val="24"/>
          <w:szCs w:val="24"/>
        </w:rPr>
        <w:t xml:space="preserve">4.2 Weighted One-Sided Calibration</w:t>
      </w:r>
    </w:p>
    <w:p>
      <w:pPr>
        <w:spacing w:after="120" w:line="276"/>
        <w:jc w:val="both"/>
      </w:pPr>
      <w:r>
        <w:rPr>
          <w:rFonts w:ascii="Times New Roman" w:cs="Times New Roman" w:eastAsia="Times New Roman" w:hAnsi="Times New Roman"/>
          <w:sz w:val="22"/>
          <w:szCs w:val="22"/>
        </w:rPr>
        <w:t xml:space="preserve">The weighted empirical CDF of calibration residuals is F̂_{w,t}^(p)(u) = Σ_i w_{i,t} · 1{e_i^(p) ≤ u}. The calibration buffer is the weighted quantile:</w:t>
      </w:r>
    </w:p>
    <w:p>
      <w:pPr>
        <w:spacing w:after="100" w:before="100"/>
        <w:jc w:val="center"/>
      </w:pPr>
      <w:r>
        <w:rPr>
          <w:rFonts w:ascii="Cambria Math" w:cs="Cambria Math" w:eastAsia="Cambria Math" w:hAnsi="Cambria Math"/>
          <w:i/>
          <w:iCs/>
          <w:sz w:val="22"/>
          <w:szCs w:val="22"/>
        </w:rPr>
        <w:t xml:space="preserve">b_t^(p) = F̂_{w,t}^{(p),−1}(1 − p + ε_t)</w:t>
      </w:r>
    </w:p>
    <w:p>
      <w:pPr>
        <w:spacing w:after="120" w:line="276"/>
        <w:jc w:val="both"/>
      </w:pPr>
      <w:r>
        <w:rPr>
          <w:rFonts w:ascii="Times New Roman" w:cs="Times New Roman" w:eastAsia="Times New Roman" w:hAnsi="Times New Roman"/>
          <w:sz w:val="22"/>
          <w:szCs w:val="22"/>
        </w:rPr>
        <w:t xml:space="preserve">where ε_t is a finite-sample inflation term. The calibrated forecast is q̃_t^(p) = q̂_t^(p) + b_t^(p).</w:t>
      </w:r>
    </w:p>
    <w:p>
      <w:pPr>
        <w:pStyle w:val="Heading2"/>
        <w:spacing w:after="160" w:before="280"/>
      </w:pPr>
      <w:r>
        <w:rPr>
          <w:rFonts w:ascii="Times New Roman" w:cs="Times New Roman" w:eastAsia="Times New Roman" w:hAnsi="Times New Roman"/>
          <w:b/>
          <w:bCs/>
          <w:sz w:val="24"/>
          <w:szCs w:val="24"/>
        </w:rPr>
        <w:t xml:space="preserve">4.3 DKW-Style Finite-Sample Inflation</w:t>
      </w:r>
    </w:p>
    <w:p>
      <w:pPr>
        <w:spacing w:after="120" w:line="276"/>
        <w:jc w:val="both"/>
      </w:pPr>
      <w:r>
        <w:rPr>
          <w:rFonts w:ascii="Times New Roman" w:cs="Times New Roman" w:eastAsia="Times New Roman" w:hAnsi="Times New Roman"/>
          <w:sz w:val="22"/>
          <w:szCs w:val="22"/>
        </w:rPr>
        <w:t xml:space="preserve">The inflation term accounts for the finite precision of the weighted empirical CDF:</w:t>
      </w:r>
    </w:p>
    <w:p>
      <w:pPr>
        <w:spacing w:after="100" w:before="100"/>
        <w:jc w:val="center"/>
      </w:pPr>
      <w:r>
        <w:rPr>
          <w:rFonts w:ascii="Cambria Math" w:cs="Cambria Math" w:eastAsia="Cambria Math" w:hAnsi="Cambria Math"/>
          <w:i/>
          <w:iCs/>
          <w:sz w:val="22"/>
          <w:szCs w:val="22"/>
        </w:rPr>
        <w:t xml:space="preserve">ε_t = c · √(log(4K/δ) / (2 · n_eff(t)))</w:t>
      </w:r>
    </w:p>
    <w:p>
      <w:pPr>
        <w:spacing w:after="120" w:line="276"/>
        <w:jc w:val="both"/>
      </w:pPr>
      <w:r>
        <w:rPr>
          <w:rFonts w:ascii="Times New Roman" w:cs="Times New Roman" w:eastAsia="Times New Roman" w:hAnsi="Times New Roman"/>
          <w:sz w:val="22"/>
          <w:szCs w:val="22"/>
        </w:rPr>
        <w:t xml:space="preserve">where K is the number of simultaneous tail levels, δ is the confidence budget, and c is a safety multiplier. This term ensures that even with a small effective calibration set, the coverage guarantee degrades gracefully rather than failing silently. If ε_t ≥ p, the level 1 − p + ε_t exceeds 1 and is clamped to 1, so the buffer becomes the largest calibration residual; Section 7.1 shows that the experiments in this paper operate in that regime.</w:t>
      </w:r>
    </w:p>
    <w:p>
      <w:pPr>
        <w:pStyle w:val="Heading2"/>
        <w:spacing w:after="160" w:before="280"/>
      </w:pPr>
      <w:r>
        <w:rPr>
          <w:rFonts w:ascii="Times New Roman" w:cs="Times New Roman" w:eastAsia="Times New Roman" w:hAnsi="Times New Roman"/>
          <w:b/>
          <w:bCs/>
          <w:sz w:val="24"/>
          <w:szCs w:val="24"/>
        </w:rPr>
        <w:t xml:space="preserve">4.4 Simultaneous Multi-Level Control</w:t>
      </w:r>
    </w:p>
    <w:p>
      <w:pPr>
        <w:spacing w:after="120" w:line="276"/>
        <w:jc w:val="both"/>
      </w:pPr>
      <w:r>
        <w:rPr>
          <w:rFonts w:ascii="Times New Roman" w:cs="Times New Roman" w:eastAsia="Times New Roman" w:hAnsi="Times New Roman"/>
          <w:sz w:val="22"/>
          <w:szCs w:val="22"/>
        </w:rPr>
        <w:t xml:space="preserve">When monitoring multiple tail levels p_1, …, p_K simultaneously, we allocate the confidence budget δ across levels via a union bound, replacing δ with δ/K in the DKW term (absorbed into the log(4K/δ) factor). This ensures joint control: P(∃k : L_t &gt; q̃_t^(p_k)) ≤ δ.</w:t>
      </w:r>
    </w:p>
    <w:p>
      <w:pPr>
        <w:pStyle w:val="Heading2"/>
        <w:spacing w:after="160" w:before="280"/>
      </w:pPr>
      <w:r>
        <w:rPr>
          <w:rFonts w:ascii="Times New Roman" w:cs="Times New Roman" w:eastAsia="Times New Roman" w:hAnsi="Times New Roman"/>
          <w:b/>
          <w:bCs/>
          <w:sz w:val="24"/>
          <w:szCs w:val="24"/>
        </w:rPr>
        <w:t xml:space="preserve">4.5 Monotonicity Enforcement</w:t>
      </w:r>
    </w:p>
    <w:p>
      <w:pPr>
        <w:spacing w:after="120" w:line="276"/>
        <w:jc w:val="both"/>
      </w:pPr>
      <w:r>
        <w:rPr>
          <w:rFonts w:ascii="Times New Roman" w:cs="Times New Roman" w:eastAsia="Times New Roman" w:hAnsi="Times New Roman"/>
          <w:sz w:val="22"/>
          <w:szCs w:val="22"/>
        </w:rPr>
        <w:t xml:space="preserve">When forecasting at both 95% and 99% VaR, the calibrated forecasts may cross (quantile crossing). We enforce monotonicity via isotonic regression: if q̃_99 &lt; q̃_95, the two values are pooled to their average, so that more extreme tail levels always produce larger VaR forecasts. Pooling raises the 99% forecast but lowers the 95% one, so it can worsen exceedance control at the less extreme level; an upper envelope that only raises the 99% forecast to the 95% one would preserve the one-sided bounds at both levels.</w:t>
      </w:r>
    </w:p>
    <w:p>
      <w:r>
        <w:br w:type="page"/>
      </w:r>
    </w:p>
    <w:p>
      <w:pPr>
        <w:pStyle w:val="Heading1"/>
        <w:spacing w:after="160" w:before="280"/>
      </w:pPr>
      <w:r>
        <w:rPr>
          <w:rFonts w:ascii="Times New Roman" w:cs="Times New Roman" w:eastAsia="Times New Roman" w:hAnsi="Times New Roman"/>
          <w:b/>
          <w:bCs/>
          <w:sz w:val="28"/>
          <w:szCs w:val="28"/>
        </w:rPr>
        <w:t xml:space="preserve">5. Theoretical Guarantees</w:t>
      </w:r>
    </w:p>
    <w:p>
      <w:pPr>
        <w:pStyle w:val="Heading2"/>
        <w:spacing w:after="160" w:before="280"/>
      </w:pPr>
      <w:r>
        <w:rPr>
          <w:rFonts w:ascii="Times New Roman" w:cs="Times New Roman" w:eastAsia="Times New Roman" w:hAnsi="Times New Roman"/>
          <w:b/>
          <w:bCs/>
          <w:sz w:val="24"/>
          <w:szCs w:val="24"/>
        </w:rPr>
        <w:t xml:space="preserve">Theorem 1 (Weighted One-Sided Validity)</w:t>
      </w:r>
    </w:p>
    <w:p>
      <w:pPr>
        <w:spacing w:after="120" w:line="276"/>
        <w:jc w:val="both"/>
      </w:pPr>
      <w:r>
        <w:rPr>
          <w:rFonts w:ascii="Times New Roman" w:cs="Times New Roman" w:eastAsia="Times New Roman" w:hAnsi="Times New Roman"/>
          <w:i/>
          <w:iCs/>
          <w:sz w:val="22"/>
          <w:szCs w:val="22"/>
        </w:rPr>
        <w:t xml:space="preserve">Under weighted exchangeability of the calibration residuals (i.e., the joint distribution of (e_1, …, e_n, e_{n+1}) is invariant under permutations weighted by w), the calibrated forecast satisfies:</w:t>
      </w:r>
    </w:p>
    <w:p>
      <w:pPr>
        <w:spacing w:after="100" w:before="100"/>
        <w:jc w:val="center"/>
      </w:pPr>
      <w:r>
        <w:rPr>
          <w:rFonts w:ascii="Cambria Math" w:cs="Cambria Math" w:eastAsia="Cambria Math" w:hAnsi="Cambria Math"/>
          <w:i/>
          <w:iCs/>
          <w:sz w:val="22"/>
          <w:szCs w:val="22"/>
        </w:rPr>
        <w:t xml:space="preserve">P(L_t &gt; q̃_t^(p)) ≤ p + η_t</w:t>
      </w:r>
    </w:p>
    <w:p>
      <w:pPr>
        <w:spacing w:after="120" w:line="276"/>
        <w:jc w:val="both"/>
      </w:pPr>
      <w:r>
        <w:rPr>
          <w:rFonts w:ascii="Times New Roman" w:cs="Times New Roman" w:eastAsia="Times New Roman" w:hAnsi="Times New Roman"/>
          <w:i/>
          <w:iCs/>
          <w:sz w:val="22"/>
          <w:szCs w:val="22"/>
        </w:rPr>
        <w:t xml:space="preserve">where η_t = O(n_eff(t)^{−1/2}) is a finite-sample correction that vanishes as the effective sample size grows.</w:t>
      </w:r>
    </w:p>
    <w:p>
      <w:pPr>
        <w:pStyle w:val="Heading2"/>
        <w:spacing w:after="160" w:before="280"/>
      </w:pPr>
      <w:r>
        <w:rPr>
          <w:rFonts w:ascii="Times New Roman" w:cs="Times New Roman" w:eastAsia="Times New Roman" w:hAnsi="Times New Roman"/>
          <w:b/>
          <w:bCs/>
          <w:sz w:val="24"/>
          <w:szCs w:val="24"/>
        </w:rPr>
        <w:t xml:space="preserve">Theorem 2 (Simultaneous Multi-Level Control)</w:t>
      </w:r>
    </w:p>
    <w:p>
      <w:pPr>
        <w:spacing w:after="120" w:line="276"/>
        <w:jc w:val="both"/>
      </w:pPr>
      <w:r>
        <w:rPr>
          <w:rFonts w:ascii="Times New Roman" w:cs="Times New Roman" w:eastAsia="Times New Roman" w:hAnsi="Times New Roman"/>
          <w:i/>
          <w:iCs/>
          <w:sz w:val="22"/>
          <w:szCs w:val="22"/>
        </w:rPr>
        <w:t xml:space="preserve">For K tail levels p_1, …, p_K with the union-bound inflation ε_t = c√(log(4K/δ) / (2n_eff(t))):</w:t>
      </w:r>
    </w:p>
    <w:p>
      <w:pPr>
        <w:spacing w:after="100" w:before="100"/>
        <w:jc w:val="center"/>
      </w:pPr>
      <w:r>
        <w:rPr>
          <w:rFonts w:ascii="Cambria Math" w:cs="Cambria Math" w:eastAsia="Cambria Math" w:hAnsi="Cambria Math"/>
          <w:i/>
          <w:iCs/>
          <w:sz w:val="22"/>
          <w:szCs w:val="22"/>
        </w:rPr>
        <w:t xml:space="preserve">P(∃ k ∈ {1,…,K} : L_t &gt; q̃_t^(p_k)) ≤ δ</w:t>
      </w:r>
    </w:p>
    <w:p>
      <w:pPr>
        <w:spacing w:after="120" w:line="276"/>
        <w:jc w:val="both"/>
      </w:pPr>
      <w:r>
        <w:rPr>
          <w:rFonts w:ascii="Times New Roman" w:cs="Times New Roman" w:eastAsia="Times New Roman" w:hAnsi="Times New Roman"/>
          <w:i/>
          <w:iCs/>
          <w:sz w:val="22"/>
          <w:szCs w:val="22"/>
        </w:rPr>
        <w:t xml:space="preserve">This provides simultaneous coverage across all monitored tail levels with a single confidence budget.</w:t>
      </w:r>
    </w:p>
    <w:p>
      <w:pPr>
        <w:pStyle w:val="Heading2"/>
        <w:spacing w:after="160" w:before="280"/>
      </w:pPr>
      <w:r>
        <w:rPr>
          <w:rFonts w:ascii="Times New Roman" w:cs="Times New Roman" w:eastAsia="Times New Roman" w:hAnsi="Times New Roman"/>
          <w:b/>
          <w:bCs/>
          <w:sz w:val="24"/>
          <w:szCs w:val="24"/>
        </w:rPr>
        <w:t xml:space="preserve">Theorem 3 (Drift Robustness Bound)</w:t>
      </w:r>
    </w:p>
    <w:p>
      <w:pPr>
        <w:spacing w:after="120" w:line="276"/>
        <w:jc w:val="both"/>
      </w:pPr>
      <w:r>
        <w:rPr>
          <w:rFonts w:ascii="Times New Roman" w:cs="Times New Roman" w:eastAsia="Times New Roman" w:hAnsi="Times New Roman"/>
          <w:i/>
          <w:iCs/>
          <w:sz w:val="22"/>
          <w:szCs w:val="22"/>
        </w:rPr>
        <w:t xml:space="preserve">Assume the regime-conditional residual distributions satisfy d(F_t, F_s) ≤ Cρ(z_t, z_s) + ξ|t−s|, where d is a probability metric and ρ is the regime-feature distance. Then the calibration error decomposes as:</w:t>
      </w:r>
    </w:p>
    <w:p>
      <w:pPr>
        <w:spacing w:after="100" w:before="100"/>
        <w:jc w:val="center"/>
      </w:pPr>
      <w:r>
        <w:rPr>
          <w:rFonts w:ascii="Cambria Math" w:cs="Cambria Math" w:eastAsia="Cambria Math" w:hAnsi="Cambria Math"/>
          <w:i/>
          <w:iCs/>
          <w:sz w:val="22"/>
          <w:szCs w:val="22"/>
        </w:rPr>
        <w:t xml:space="preserve">|P(L_t &gt; q̃_t) − p| ≤ ε_weighted-empirical + ε_regime-mismatch + ε_base-model</w:t>
      </w:r>
    </w:p>
    <w:p>
      <w:pPr>
        <w:spacing w:after="120" w:line="276"/>
        <w:jc w:val="both"/>
      </w:pPr>
      <w:r>
        <w:rPr>
          <w:rFonts w:ascii="Times New Roman" w:cs="Times New Roman" w:eastAsia="Times New Roman" w:hAnsi="Times New Roman"/>
          <w:i/>
          <w:iCs/>
          <w:sz w:val="22"/>
          <w:szCs w:val="22"/>
        </w:rPr>
        <w:t xml:space="preserve">where ε_weighted-empirical is O(n_eff^{−1/2}), ε_regime-mismatch depends on the weighted average regime distance, and ε_base-model captures the base forecaster’s approximation error.</w:t>
      </w:r>
    </w:p>
    <w:p>
      <w:r>
        <w:br w:type="page"/>
      </w:r>
    </w:p>
    <w:p>
      <w:pPr>
        <w:pStyle w:val="Heading1"/>
        <w:spacing w:after="160" w:before="280"/>
      </w:pPr>
      <w:r>
        <w:rPr>
          <w:rFonts w:ascii="Times New Roman" w:cs="Times New Roman" w:eastAsia="Times New Roman" w:hAnsi="Times New Roman"/>
          <w:b/>
          <w:bCs/>
          <w:sz w:val="28"/>
          <w:szCs w:val="28"/>
        </w:rPr>
        <w:t xml:space="preserve">6. Experiments</w:t>
      </w:r>
    </w:p>
    <w:p>
      <w:pPr>
        <w:pStyle w:val="Heading2"/>
        <w:spacing w:after="160" w:before="280"/>
      </w:pPr>
      <w:r>
        <w:rPr>
          <w:rFonts w:ascii="Times New Roman" w:cs="Times New Roman" w:eastAsia="Times New Roman" w:hAnsi="Times New Roman"/>
          <w:b/>
          <w:bCs/>
          <w:sz w:val="24"/>
          <w:szCs w:val="24"/>
        </w:rPr>
        <w:t xml:space="preserve">6.1 Synthetic Simulation Suite</w:t>
      </w:r>
    </w:p>
    <w:p>
      <w:pPr>
        <w:spacing w:after="120" w:line="276"/>
        <w:jc w:val="both"/>
      </w:pPr>
      <w:r>
        <w:rPr>
          <w:rFonts w:ascii="Times New Roman" w:cs="Times New Roman" w:eastAsia="Times New Roman" w:hAnsi="Times New Roman"/>
          <w:sz w:val="22"/>
          <w:szCs w:val="22"/>
        </w:rPr>
        <w:t xml:space="preserve">We evaluate the calibration layer under four controlled data-generating processes (DGPs), each targeting a specific challenge. Simulation A uses i.i.d. heavy-tailed innovations (Student-t with 4 degrees of freedom, and skewed-t) as a sanity check. Simulation B uses GARCH(1,1) with Student-t innovations to introduce volatility clustering. Simulation C uses a two-state Markov-switching model (calm vs. crisis regimes) with different volatility and tail thickness in each state. Simulation D uses a Merton-style jump-diffusion process with stochastic crash arrivals. For each scenario, we generate 2,500 observations and use a 500-day training window and a 200-day calibration window. Because the calibration window on each test day must be filled with residuals of forecasts made on those days, the first 200 forecast days only build up residual history; every calibrator, including the uncalibrated baseline, is then scored on the same final 1,600 days.</w:t>
      </w:r>
    </w:p>
    <w:p>
      <w:pPr>
        <w:pStyle w:val="Heading2"/>
        <w:spacing w:after="160" w:before="280"/>
      </w:pPr>
      <w:r>
        <w:rPr>
          <w:rFonts w:ascii="Times New Roman" w:cs="Times New Roman" w:eastAsia="Times New Roman" w:hAnsi="Times New Roman"/>
          <w:b/>
          <w:bCs/>
          <w:sz w:val="24"/>
          <w:szCs w:val="24"/>
        </w:rPr>
        <w:t xml:space="preserve">6.2 Base Forecasters</w:t>
      </w:r>
    </w:p>
    <w:p>
      <w:pPr>
        <w:spacing w:after="120" w:line="276"/>
        <w:jc w:val="both"/>
      </w:pPr>
      <w:r>
        <w:rPr>
          <w:rFonts w:ascii="Times New Roman" w:cs="Times New Roman" w:eastAsia="Times New Roman" w:hAnsi="Times New Roman"/>
          <w:sz w:val="22"/>
          <w:szCs w:val="22"/>
        </w:rPr>
        <w:t xml:space="preserve">We employ two representative base forecasters: Historical Simulation (HS), which uses the empirical quantile of trailing losses, and Exponentially Weighted Moving Average Normal VaR (EWMA), which applies a RiskMetrics-style volatility model with a Normal quantile. Both are retrained every 50 days on the rolling training window. The training window ends where the 200-day calibration window begins, so the base forecast used on a test day is built from data that ends at least 200 days earlier. This keeps the calibration residuals out of sample, but it leaves the uncalibrated baselines stale, which matters most for EWMA.</w:t>
      </w:r>
    </w:p>
    <w:p>
      <w:pPr>
        <w:pStyle w:val="Heading2"/>
        <w:spacing w:after="160" w:before="280"/>
      </w:pPr>
      <w:r>
        <w:rPr>
          <w:rFonts w:ascii="Times New Roman" w:cs="Times New Roman" w:eastAsia="Times New Roman" w:hAnsi="Times New Roman"/>
          <w:b/>
          <w:bCs/>
          <w:sz w:val="24"/>
          <w:szCs w:val="24"/>
        </w:rPr>
        <w:t xml:space="preserve">6.3 Calibration Variants</w:t>
      </w:r>
    </w:p>
    <w:p>
      <w:pPr>
        <w:spacing w:after="120" w:line="276"/>
        <w:jc w:val="both"/>
      </w:pPr>
      <w:r>
        <w:rPr>
          <w:rFonts w:ascii="Times New Roman" w:cs="Times New Roman" w:eastAsia="Times New Roman" w:hAnsi="Times New Roman"/>
          <w:sz w:val="22"/>
          <w:szCs w:val="22"/>
        </w:rPr>
        <w:t xml:space="preserve">We compare five calibration configurations: Uncalibrated (raw base forecaster), Conformal-Plain (unweighted one-sided split conformal), Time+Regime (time-decay and regime-kernel weighting without DKW inflation), Full DKW (time and regime weighting with DKW inflation), and Full+Mono (full calibration with monotonicity enforcement). This ablation design isolates the marginal contribution of each component.</w:t>
      </w:r>
    </w:p>
    <w:p>
      <w:pPr>
        <w:pStyle w:val="Heading2"/>
        <w:spacing w:after="160" w:before="280"/>
      </w:pPr>
      <w:r>
        <w:rPr>
          <w:rFonts w:ascii="Times New Roman" w:cs="Times New Roman" w:eastAsia="Times New Roman" w:hAnsi="Times New Roman"/>
          <w:b/>
          <w:bCs/>
          <w:sz w:val="24"/>
          <w:szCs w:val="24"/>
        </w:rPr>
        <w:t xml:space="preserve">6.4 Simulation Results</w:t>
      </w:r>
    </w:p>
    <w:p>
      <w:pPr>
        <w:spacing w:after="120" w:line="276"/>
        <w:jc w:val="both"/>
      </w:pPr>
      <w:r>
        <w:rPr>
          <w:rFonts w:ascii="Times New Roman" w:cs="Times New Roman" w:eastAsia="Times New Roman" w:hAnsi="Times New Roman"/>
          <w:sz w:val="22"/>
          <w:szCs w:val="22"/>
        </w:rPr>
        <w:t xml:space="preserve">Table 1 reports exceedance rates and Kupiec test p-values for the 99% VaR (p = 0.01) across all synthetic scenarios. The target exceedance rate is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700"/>
        <w:gridCol w:w="1200"/>
        <w:gridCol w:w="1200"/>
        <w:gridCol w:w="1200"/>
        <w:gridCol w:w="1160"/>
      </w:tblGrid>
      <w:tr>
        <w:tc>
          <w:tcPr>
            <w:tcW w:type="dxa" w:w="16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Scenario</w:t>
            </w:r>
          </w:p>
        </w:tc>
        <w:tc>
          <w:tcPr>
            <w:tcW w:type="dxa" w:w="13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Forecaster</w:t>
            </w:r>
          </w:p>
        </w:tc>
        <w:tc>
          <w:tcPr>
            <w:tcW w:type="dxa" w:w="17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Calibrator</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Exc. Rate</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Deviation</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Kupiec p</w:t>
            </w:r>
          </w:p>
        </w:tc>
        <w:tc>
          <w:tcPr>
            <w:tcW w:type="dxa" w:w="116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Christoff. p</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A1_StudentT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Uncalibrated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1.000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0.851</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A1_StudentT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 (DKW)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0.293</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0.525</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A1_StudentT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Full+Mono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0.293</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0.525</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A2_SkewedT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Uncalibrated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0.804</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0.808</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A2_SkewedT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 (DKW)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0.0081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0.0019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0.436</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0.179</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A2_SkewedT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Full+Mono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0.293</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0.120</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B_GARCH_t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Uncalibrated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0.0313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B_GARCH_t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 (DKW)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0.0088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0.608</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0.775</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B_GARCH_t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Full+Mono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0.0088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0.608</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0.775</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C_MarkovSwitch</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Uncalibrated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0.0088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0.608</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0.775</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C_MarkovSwitch</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 (DKW)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0.333</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0.322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C_MarkovSwitch</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Full+Mono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0.333</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0.322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D_JumpDiffusion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Uncalibrated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1.000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0.851</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D_JumpDiffusion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 (DKW)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0.061</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0.003</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D_JumpDiffusion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Full+Mono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0.804</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w:t>
            </w:r>
          </w:p>
        </w:tc>
      </w:tr>
    </w:tbl>
    <w:p>
      <w:pPr>
        <w:spacing w:after="120" w:line="276"/>
        <w:jc w:val="both"/>
      </w:pPr>
      <w:r>
        <w:rPr>
          <w:rFonts w:ascii="Times New Roman" w:cs="Times New Roman" w:eastAsia="Times New Roman" w:hAnsi="Times New Roman"/>
          <w:i/>
          <w:iCs/>
          <w:sz w:val="22"/>
          <w:szCs w:val="22"/>
        </w:rPr>
        <w:t xml:space="preserve">Table 1: Simulation results for 99% VaR (p = 0.01), HS forecaster.</w:t>
      </w:r>
    </w:p>
    <w:p>
      <w:pPr>
        <w:spacing w:after="120" w:line="276"/>
        <w:jc w:val="both"/>
      </w:pPr>
      <w:r>
        <w:rPr>
          <w:rFonts w:ascii="Times New Roman" w:cs="Times New Roman" w:eastAsia="Times New Roman" w:hAnsi="Times New Roman"/>
          <w:sz w:val="22"/>
          <w:szCs w:val="22"/>
        </w:rPr>
        <w:t xml:space="preserve">With the inflation term, the 99% exceedance rates of the two full variants stay between 0.75% and 1.50% for historical simulation (HS) across the five DGPs. HS improves only in the GARCH scenario (B), where the uncalibrated forecaster breaches 3.13% of the time and Full DKW brings this to 0.88% (Kupiec p = 0.608, not rejected). In the other four scenarios uncalibrated HS is already within two breaches of the 16 that a 1% rate implies over 1,600 days, and calibration leaves it 0.06 to 0.50 pp from the target, further than before (in the Markov-switching scenario, from 0.88% to 1.25%). For EWMA, whose uncalibrated rates are higher (1.56% to 4.63%), both full variants move every scenario closer to 1% (0.81% to 1.38%). At the 95% level the full variants record 0.75% to 1.38% exceedances against a 5% target and are rejected by the Kupiec test in every scenario. Plain conformal calibration sits between the two for HS at 99% (1.00% to 2.69%), and time and regime weighting without inflation is worst (4.81% to 8.50%). Table 1 shows HS only; all variants and both forecasters are in results/simulation_results.csv.</w:t>
      </w:r>
    </w:p>
    <w:p>
      <w:pPr>
        <w:pStyle w:val="Heading2"/>
        <w:spacing w:after="160" w:before="280"/>
      </w:pPr>
      <w:r>
        <w:rPr>
          <w:rFonts w:ascii="Times New Roman" w:cs="Times New Roman" w:eastAsia="Times New Roman" w:hAnsi="Times New Roman"/>
          <w:b/>
          <w:bCs/>
          <w:sz w:val="24"/>
          <w:szCs w:val="24"/>
        </w:rPr>
        <w:t xml:space="preserve">6.5 Multi-Asset Backtest Results</w:t>
      </w:r>
    </w:p>
    <w:p>
      <w:pPr>
        <w:spacing w:after="120" w:line="276"/>
        <w:jc w:val="both"/>
      </w:pPr>
      <w:r>
        <w:rPr>
          <w:rFonts w:ascii="Times New Roman" w:cs="Times New Roman" w:eastAsia="Times New Roman" w:hAnsi="Times New Roman"/>
          <w:sz w:val="22"/>
          <w:szCs w:val="22"/>
        </w:rPr>
        <w:t xml:space="preserve">Table 2 reports 99% VaR backtest results on synthetic assets modelled on six major instruments. Each asset is simulated for 3,500 days (~14 years) using GARCH dynamics with jump-diffusion contamination; the GARCH and jump parameters are set by hand for each ticker rather than fitted to market data. With the same windows and warm-up as Section 6.1, each asset is scored on its final 2,600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700"/>
        <w:gridCol w:w="1200"/>
        <w:gridCol w:w="1200"/>
        <w:gridCol w:w="1200"/>
        <w:gridCol w:w="1360"/>
      </w:tblGrid>
      <w:tr>
        <w:tc>
          <w:tcPr>
            <w:tcW w:type="dxa" w:w="14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Asset</w:t>
            </w:r>
          </w:p>
        </w:tc>
        <w:tc>
          <w:tcPr>
            <w:tcW w:type="dxa" w:w="13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Forecaster</w:t>
            </w:r>
          </w:p>
        </w:tc>
        <w:tc>
          <w:tcPr>
            <w:tcW w:type="dxa" w:w="17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Calibrator</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Exc. Rate</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Deviation</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Kupiec p</w:t>
            </w:r>
          </w:p>
        </w:tc>
        <w:tc>
          <w:tcPr>
            <w:tcW w:type="dxa" w:w="136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Overshoot</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SPY</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Uncalibrated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0.002</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0.014140</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SPY</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Full+Mono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0.690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0.012260</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QQQ</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Uncalibrated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0.0188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0.0088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0.022364</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QQQ</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Full+Mono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0.418</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0.021049</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IWM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Uncalibrated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0.092</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0.013501</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IWM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Full+Mono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0.0069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0.0031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0.095</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0.017062</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GLD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Uncalibrated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0.0146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0.0046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0.027</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0.007915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GLD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Full+Mono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0.0088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0.546</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0.009032</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TLT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Uncalibrated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0.002</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0.004972</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TLT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Full+Mono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0.418</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0.006351</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BTC-USD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Uncalibrated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0.0162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0.0062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0.004</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0.035202</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BTC-USD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Full+Mono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0.442</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0.027862</w:t>
            </w:r>
          </w:p>
        </w:tc>
      </w:tr>
    </w:tbl>
    <w:p>
      <w:pPr>
        <w:spacing w:after="120" w:line="276"/>
        <w:jc w:val="both"/>
      </w:pPr>
      <w:r>
        <w:rPr>
          <w:rFonts w:ascii="Times New Roman" w:cs="Times New Roman" w:eastAsia="Times New Roman" w:hAnsi="Times New Roman"/>
          <w:i/>
          <w:iCs/>
          <w:sz w:val="22"/>
          <w:szCs w:val="22"/>
        </w:rPr>
        <w:t xml:space="preserve">Table 2: Multi-asset backtest results for 99% VaR (p = 0.01), HS forecaster.</w:t>
      </w:r>
    </w:p>
    <w:p>
      <w:pPr>
        <w:spacing w:after="120" w:line="276"/>
        <w:jc w:val="both"/>
      </w:pPr>
      <w:r>
        <w:rPr>
          <w:rFonts w:ascii="Times New Roman" w:cs="Times New Roman" w:eastAsia="Times New Roman" w:hAnsi="Times New Roman"/>
          <w:sz w:val="22"/>
          <w:szCs w:val="22"/>
        </w:rPr>
        <w:t xml:space="preserve">Uncalibrated HS breaches 1.35% to 1.88% of the time on the six synthetic assets and passes the Kupiec test only on the IWM profile. Full+Mono brings every asset closer to the 1% target (0.69% to 1.15%) and passes the Kupiec test on all six: for the SPY profile the rate moves from 1.65% to 0.92%, and for the BTC profile from 1.62% to 1.15%. EWMA starts further away (2.69% to 4.19%) and ends at 0.50% to 1.12%, passing on five of six assets. As in the simulations, the 95% forecasts are over-corrected: the full variants record 0.54% to 1.23% exceedances against a 5% target on every asset.</w:t>
      </w:r>
    </w:p>
    <w:p>
      <w:pPr>
        <w:pStyle w:val="Heading2"/>
        <w:spacing w:after="160" w:before="280"/>
      </w:pPr>
      <w:r>
        <w:rPr>
          <w:rFonts w:ascii="Times New Roman" w:cs="Times New Roman" w:eastAsia="Times New Roman" w:hAnsi="Times New Roman"/>
          <w:b/>
          <w:bCs/>
          <w:sz w:val="24"/>
          <w:szCs w:val="24"/>
        </w:rPr>
        <w:t xml:space="preserve">6.6 Ablation Analysis</w:t>
      </w:r>
    </w:p>
    <w:p>
      <w:pPr>
        <w:spacing w:after="120" w:line="276"/>
        <w:jc w:val="both"/>
      </w:pPr>
      <w:r>
        <w:rPr>
          <w:rFonts w:ascii="Times New Roman" w:cs="Times New Roman" w:eastAsia="Times New Roman" w:hAnsi="Times New Roman"/>
          <w:sz w:val="22"/>
          <w:szCs w:val="22"/>
        </w:rPr>
        <w:t xml:space="preserve">The ablation (results/ablation_full.csv) runs all seven calibrator variants on the GARCH and Markov-switching scenarios and the SPY and BTC asset profiles, with both base forecasters. Time-decay weighting on its own is the best-behaved variant across both tail levels: compared with plain conformal calibration it moves all eight cases closer to target at both tail levels, and it passes the Kupiec test at 95% in all eight (four of eight at 99%). Regime weighting on its own, and time and regime weighting together without inflation, raise 99% exceedances to between 4.75% and 7.92%. Adding DKW inflation brings the full variants to 0.58% to 1.38% at 99%, with Full DKW passing the Kupiec test in seven of eight cases, but at the cost of the saturation described in Section 7.1: every full variant is rejected at 95%. Monotonicity enforcement changes exceedance rates by at most 0.125 pp in these runs.</w:t>
      </w:r>
    </w:p>
    <w:p>
      <w:r>
        <w:br w:type="page"/>
      </w:r>
    </w:p>
    <w:p>
      <w:pPr>
        <w:pStyle w:val="Heading1"/>
        <w:spacing w:after="160" w:before="280"/>
      </w:pPr>
      <w:r>
        <w:rPr>
          <w:rFonts w:ascii="Times New Roman" w:cs="Times New Roman" w:eastAsia="Times New Roman" w:hAnsi="Times New Roman"/>
          <w:b/>
          <w:bCs/>
          <w:sz w:val="28"/>
          <w:szCs w:val="28"/>
        </w:rPr>
        <w:t xml:space="preserve">7. Discussion</w:t>
      </w:r>
    </w:p>
    <w:p>
      <w:pPr>
        <w:pStyle w:val="Heading2"/>
        <w:spacing w:after="160" w:before="280"/>
      </w:pPr>
      <w:r>
        <w:rPr>
          <w:rFonts w:ascii="Times New Roman" w:cs="Times New Roman" w:eastAsia="Times New Roman" w:hAnsi="Times New Roman"/>
          <w:b/>
          <w:bCs/>
          <w:sz w:val="24"/>
          <w:szCs w:val="24"/>
        </w:rPr>
        <w:t xml:space="preserve">7.1 Conservativeness vs. Responsiveness</w:t>
      </w:r>
    </w:p>
    <w:p>
      <w:pPr>
        <w:spacing w:after="120" w:line="276"/>
        <w:jc w:val="both"/>
      </w:pPr>
      <w:r>
        <w:rPr>
          <w:rFonts w:ascii="Times New Roman" w:cs="Times New Roman" w:eastAsia="Times New Roman" w:hAnsi="Times New Roman"/>
          <w:sz w:val="22"/>
          <w:szCs w:val="22"/>
        </w:rPr>
        <w:t xml:space="preserve">The DKW inflation term introduces deliberate conservativeness: calibrated forecasts will, on average, exceed the minimum necessary VaR. This conservativeness is largest when the effective sample size is small (during novel regimes or rapid transitions) and shrinks as more relevant calibration data accumulates. The degree of conservativeness is controlled by the constant c and the confidence budget δ, offering practitioners a direct tradeoff between safety and capital efficiency.</w:t>
      </w:r>
    </w:p>
    <w:p>
      <w:pPr>
        <w:spacing w:after="120" w:line="276"/>
        <w:jc w:val="both"/>
      </w:pPr>
      <w:r>
        <w:rPr>
          <w:rFonts w:ascii="Times New Roman" w:cs="Times New Roman" w:eastAsia="Times New Roman" w:hAnsi="Times New Roman"/>
          <w:sz w:val="22"/>
          <w:szCs w:val="22"/>
        </w:rPr>
        <w:t xml:space="preserve">In the experiments reported here, however, the conservativeness is not a tunable margin but a hard ceiling. With K = 2, δ = 0.05 and c = 1, ε_t stays above 0.05 until n_eff exceeds about 1,000 and above 0.01 until it exceeds about 25,000, while a 200-day calibration window gives n_eff ≤ 200 and therefore ε_t ≥ 0.11. The inflated level 1 − p + ε_t is clamped to 1 at both tail levels, and the calibrated forecast is the base forecast plus the largest residual in the window. More precisely, it is the largest residual whose weight does not vanish in floating point: residuals from very dissimilar regimes receive regime-kernel weights so small that they drop out. The weights therefore act as a filter on which residuals count rather than shaping a quantile, and the 95% forecasts end up far more conservative than their level requires (Tables 1 and 2 report only 99% VaR; the 95% results are in the repository CSVs).</w:t>
      </w:r>
    </w:p>
    <w:p>
      <w:pPr>
        <w:pStyle w:val="Heading2"/>
        <w:spacing w:after="160" w:before="280"/>
      </w:pPr>
      <w:r>
        <w:rPr>
          <w:rFonts w:ascii="Times New Roman" w:cs="Times New Roman" w:eastAsia="Times New Roman" w:hAnsi="Times New Roman"/>
          <w:b/>
          <w:bCs/>
          <w:sz w:val="24"/>
          <w:szCs w:val="24"/>
        </w:rPr>
        <w:t xml:space="preserve">7.2 Effective Sample Size</w:t>
      </w:r>
    </w:p>
    <w:p>
      <w:pPr>
        <w:spacing w:after="120" w:line="276"/>
        <w:jc w:val="both"/>
      </w:pPr>
      <w:r>
        <w:rPr>
          <w:rFonts w:ascii="Times New Roman" w:cs="Times New Roman" w:eastAsia="Times New Roman" w:hAnsi="Times New Roman"/>
          <w:sz w:val="22"/>
          <w:szCs w:val="22"/>
        </w:rPr>
        <w:t xml:space="preserve">The effective sample size n_eff serves as an automatic diagnostic: when it is low, the method signals that the current regime has few historical precedents and widens the safety buffer accordingly. This is precisely the behaviour desired in risk management: greater uncertainty should produce more conservative estimates, not less. In the current configuration this adaptivity is inactive, because ε_t saturates for every effective sample size the experiments produce (Section 7.1).</w:t>
      </w:r>
    </w:p>
    <w:p>
      <w:pPr>
        <w:pStyle w:val="Heading2"/>
        <w:spacing w:after="160" w:before="280"/>
      </w:pPr>
      <w:r>
        <w:rPr>
          <w:rFonts w:ascii="Times New Roman" w:cs="Times New Roman" w:eastAsia="Times New Roman" w:hAnsi="Times New Roman"/>
          <w:b/>
          <w:bCs/>
          <w:sz w:val="24"/>
          <w:szCs w:val="24"/>
        </w:rPr>
        <w:t xml:space="preserve">7.3 Limitations</w:t>
      </w:r>
    </w:p>
    <w:p>
      <w:pPr>
        <w:spacing w:after="120" w:line="276"/>
        <w:jc w:val="both"/>
      </w:pPr>
      <w:r>
        <w:rPr>
          <w:rFonts w:ascii="Times New Roman" w:cs="Times New Roman" w:eastAsia="Times New Roman" w:hAnsi="Times New Roman"/>
          <w:sz w:val="22"/>
          <w:szCs w:val="22"/>
        </w:rPr>
        <w:t xml:space="preserve">The current framework has several limitations. First, as Section 7.1 shows, the DKW term saturates at the window sizes used here, so the reported results reflect a largest-residual buffer rather than a calibrated quantile; a non-saturating inflation (a smaller c, a tighter bound such as Berk–Jones, or larger effective samples) is needed before the weighting scheme can be judged on its own terms. Second, the base forecasters are trained on windows that end where the calibration window begins, so they are at least 200 days stale at forecast time; part of the improvement over the uncalibrated baselines is the calibration layer correcting that staleness rather than model misspecification. Third, the regime features are hand-crafted from return statistics; a learned feature representation might capture subtler regime structure. Fourth, the bandwidth parameters λ and γ are set as constants rather than adapted online. Fifth, the theoretical guarantees rely on weighted exchangeability, which is an approximation to the true dependence structure of financial time series. Sixth, the present experiments use synthetic data with hand-set parameters; validation on historical market data with known crisis episodes would strengthen the empirical case.</w:t>
      </w:r>
    </w:p>
    <w:p>
      <w:pPr>
        <w:pStyle w:val="Heading1"/>
        <w:spacing w:after="160" w:before="280"/>
      </w:pPr>
      <w:r>
        <w:rPr>
          <w:rFonts w:ascii="Times New Roman" w:cs="Times New Roman" w:eastAsia="Times New Roman" w:hAnsi="Times New Roman"/>
          <w:b/>
          <w:bCs/>
          <w:sz w:val="28"/>
          <w:szCs w:val="28"/>
        </w:rPr>
        <w:t xml:space="preserve">8. Conclusion</w:t>
      </w:r>
    </w:p>
    <w:p>
      <w:pPr>
        <w:spacing w:after="120" w:line="276"/>
        <w:jc w:val="both"/>
      </w:pPr>
      <w:r>
        <w:rPr>
          <w:rFonts w:ascii="Times New Roman" w:cs="Times New Roman" w:eastAsia="Times New Roman" w:hAnsi="Times New Roman"/>
          <w:sz w:val="22"/>
          <w:szCs w:val="22"/>
        </w:rPr>
        <w:t xml:space="preserve">We have presented a regime-adaptive, distribution-free calibration layer for financial tail-risk forecasts. The method wraps any base VaR forecaster as a lightweight post-hoc correction, using weighted conformal calibration with DKW-style finite-sample inflation. Our proof sketches cover one-sided validity, simultaneous multi-level control, and drift robustness. In synthetic experiments the layer corrects stale base forecasts at the 99% level, most clearly for EWMA, for historical simulation under GARCH dynamics, and on the synthetic asset profiles. At the window sizes used here, however, the DKW term saturates, so the layer behaves like a largest-residual buffer and is far too conservative at 95%. A non-saturating inflation term, base forecasters refit on current data, and validation on historical returns are the next steps.</w:t>
      </w:r>
    </w:p>
    <w:p>
      <w:pPr>
        <w:spacing w:after="120" w:line="276"/>
        <w:jc w:val="both"/>
      </w:pPr>
      <w:r>
        <w:rPr>
          <w:rFonts w:ascii="Times New Roman" w:cs="Times New Roman" w:eastAsia="Times New Roman" w:hAnsi="Times New Roman"/>
          <w:sz w:val="22"/>
          <w:szCs w:val="22"/>
        </w:rPr>
        <w:t xml:space="preserve">Future work will extend the framework to Expected Shortfall (CVaR) calibration, develop adaptive bandwidth selection for the time-decay and regime-kernel parameters, and validate on historical market data spanning multiple crisis episodes.</w:t>
      </w:r>
    </w:p>
    <w:p>
      <w:r>
        <w:br w:type="page"/>
      </w:r>
    </w:p>
    <w:p>
      <w:pPr>
        <w:pStyle w:val="Heading1"/>
        <w:spacing w:after="160" w:before="280"/>
      </w:pPr>
      <w:r>
        <w:rPr>
          <w:rFonts w:ascii="Times New Roman" w:cs="Times New Roman" w:eastAsia="Times New Roman" w:hAnsi="Times New Roman"/>
          <w:b/>
          <w:bCs/>
          <w:sz w:val="28"/>
          <w:szCs w:val="28"/>
        </w:rPr>
        <w:t xml:space="preserve">References</w:t>
      </w:r>
    </w:p>
    <w:p>
      <w:pPr>
        <w:spacing w:after="120" w:line="276"/>
        <w:jc w:val="both"/>
      </w:pPr>
      <w:r>
        <w:rPr>
          <w:rFonts w:ascii="Times New Roman" w:cs="Times New Roman" w:eastAsia="Times New Roman" w:hAnsi="Times New Roman"/>
          <w:sz w:val="22"/>
          <w:szCs w:val="22"/>
        </w:rPr>
        <w:t xml:space="preserve">Christoffersen, P. (1998). Evaluating interval forecasts. International Economic Review, 39(4), 841–862.</w:t>
      </w:r>
    </w:p>
    <w:p>
      <w:pPr>
        <w:spacing w:after="120" w:line="276"/>
        <w:jc w:val="both"/>
      </w:pPr>
      <w:r>
        <w:rPr>
          <w:rFonts w:ascii="Times New Roman" w:cs="Times New Roman" w:eastAsia="Times New Roman" w:hAnsi="Times New Roman"/>
          <w:sz w:val="22"/>
          <w:szCs w:val="22"/>
        </w:rPr>
        <w:t xml:space="preserve">Dvoretzky, A., Kiefer, J., &amp; Wolfowitz, J. (1956). Asymptotic minimax character of the sample distribution function and of the classical multinomial estimator. Annals of Mathematical Statistics, 27(3), 642–669.</w:t>
      </w:r>
    </w:p>
    <w:p>
      <w:pPr>
        <w:spacing w:after="120" w:line="276"/>
        <w:jc w:val="both"/>
      </w:pPr>
      <w:r>
        <w:rPr>
          <w:rFonts w:ascii="Times New Roman" w:cs="Times New Roman" w:eastAsia="Times New Roman" w:hAnsi="Times New Roman"/>
          <w:sz w:val="22"/>
          <w:szCs w:val="22"/>
        </w:rPr>
        <w:t xml:space="preserve">Kupiec, P. (1995). Techniques for verifying the accuracy of risk measurement models. Journal of Derivatives, 3(2), 73–84.</w:t>
      </w:r>
    </w:p>
    <w:p>
      <w:pPr>
        <w:spacing w:after="120" w:line="276"/>
        <w:jc w:val="both"/>
      </w:pPr>
      <w:r>
        <w:rPr>
          <w:rFonts w:ascii="Times New Roman" w:cs="Times New Roman" w:eastAsia="Times New Roman" w:hAnsi="Times New Roman"/>
          <w:sz w:val="22"/>
          <w:szCs w:val="22"/>
        </w:rPr>
        <w:t xml:space="preserve">Lei, J. &amp; Wasserman, L. (2014). Distribution-free prediction bands for non-parametric regression. Journal of the Royal Statistical Society: Series B, 76(1), 71–96.</w:t>
      </w:r>
    </w:p>
    <w:p>
      <w:pPr>
        <w:spacing w:after="120" w:line="276"/>
        <w:jc w:val="both"/>
      </w:pPr>
      <w:r>
        <w:rPr>
          <w:rFonts w:ascii="Times New Roman" w:cs="Times New Roman" w:eastAsia="Times New Roman" w:hAnsi="Times New Roman"/>
          <w:sz w:val="22"/>
          <w:szCs w:val="22"/>
        </w:rPr>
        <w:t xml:space="preserve">Massart, P. (1990). The tight constant in the Dvoretzky–Kiefer–Wolfowitz inequality. Annals of Probability, 18(3), 1269–1283.</w:t>
      </w:r>
    </w:p>
    <w:p>
      <w:pPr>
        <w:spacing w:after="120" w:line="276"/>
        <w:jc w:val="both"/>
      </w:pPr>
      <w:r>
        <w:rPr>
          <w:rFonts w:ascii="Times New Roman" w:cs="Times New Roman" w:eastAsia="Times New Roman" w:hAnsi="Times New Roman"/>
          <w:sz w:val="22"/>
          <w:szCs w:val="22"/>
        </w:rPr>
        <w:t xml:space="preserve">Papadopoulos, H., Proedrou, K., Vovk, V., &amp; Gammerman, A. (2002). Inductive confidence machines for regression. European Conference on Machine Learning, 345–356.</w:t>
      </w:r>
    </w:p>
    <w:p>
      <w:pPr>
        <w:spacing w:after="120" w:line="276"/>
        <w:jc w:val="both"/>
      </w:pPr>
      <w:r>
        <w:rPr>
          <w:rFonts w:ascii="Times New Roman" w:cs="Times New Roman" w:eastAsia="Times New Roman" w:hAnsi="Times New Roman"/>
          <w:sz w:val="22"/>
          <w:szCs w:val="22"/>
        </w:rPr>
        <w:t xml:space="preserve">Romano, Y., Patterson, E., &amp; Candès, E. J. (2019). Conformalized quantile regression. NeurIPS 2019.</w:t>
      </w:r>
    </w:p>
    <w:p>
      <w:pPr>
        <w:spacing w:after="120" w:line="276"/>
        <w:jc w:val="both"/>
      </w:pPr>
      <w:r>
        <w:rPr>
          <w:rFonts w:ascii="Times New Roman" w:cs="Times New Roman" w:eastAsia="Times New Roman" w:hAnsi="Times New Roman"/>
          <w:sz w:val="22"/>
          <w:szCs w:val="22"/>
        </w:rPr>
        <w:t xml:space="preserve">Tibshirani, R. J., Barber, R. F., Candès, E. J., &amp; Ramdas, A. (2019). Conformal prediction under covariate shift. NeurIPS 2019.</w:t>
      </w:r>
    </w:p>
    <w:p>
      <w:pPr>
        <w:spacing w:after="120" w:line="276"/>
        <w:jc w:val="both"/>
      </w:pPr>
      <w:r>
        <w:rPr>
          <w:rFonts w:ascii="Times New Roman" w:cs="Times New Roman" w:eastAsia="Times New Roman" w:hAnsi="Times New Roman"/>
          <w:sz w:val="22"/>
          <w:szCs w:val="22"/>
        </w:rPr>
        <w:t xml:space="preserve">Vovk, V. (2012). Conditional validity of inductive conformal predictors. Asian Conference on Machine Learning, 475–490.</w:t>
      </w:r>
    </w:p>
    <w:p>
      <w:pPr>
        <w:spacing w:after="120" w:line="276"/>
        <w:jc w:val="both"/>
      </w:pPr>
      <w:r>
        <w:rPr>
          <w:rFonts w:ascii="Times New Roman" w:cs="Times New Roman" w:eastAsia="Times New Roman" w:hAnsi="Times New Roman"/>
          <w:sz w:val="22"/>
          <w:szCs w:val="22"/>
        </w:rPr>
        <w:t xml:space="preserve">Barber, R. F., Candès, E. J., Ramdas, A., &amp; Tibshirani, R. J. (2023). Conformal prediction beyond exchangeability. Annals of Statistics, 51(2), 816–845.</w:t>
      </w:r>
    </w:p>
    <w:p>
      <w:r>
        <w:br w:type="page"/>
      </w:r>
    </w:p>
    <w:p>
      <w:pPr>
        <w:pStyle w:val="Heading1"/>
        <w:spacing w:after="160" w:before="280"/>
      </w:pPr>
      <w:r>
        <w:rPr>
          <w:rFonts w:ascii="Times New Roman" w:cs="Times New Roman" w:eastAsia="Times New Roman" w:hAnsi="Times New Roman"/>
          <w:b/>
          <w:bCs/>
          <w:sz w:val="28"/>
          <w:szCs w:val="28"/>
        </w:rPr>
        <w:t xml:space="preserve">Appendix A: Implementation Details</w:t>
      </w:r>
    </w:p>
    <w:p>
      <w:pPr>
        <w:spacing w:after="120" w:line="276"/>
        <w:jc w:val="both"/>
      </w:pPr>
      <w:r>
        <w:rPr>
          <w:rFonts w:ascii="Times New Roman" w:cs="Times New Roman" w:eastAsia="Times New Roman" w:hAnsi="Times New Roman"/>
          <w:sz w:val="22"/>
          <w:szCs w:val="22"/>
        </w:rPr>
        <w:t xml:space="preserve">All experiments are implemented in Python 3.11+ using NumPy, SciPy, pandas, scikit-learn, statsmodels, arch, and LightGBM. The backtesting engine uses a rolling walk-forward design with configurable training, calibration, and test windows. Base forecasters are retrained every 50 trading days to balance computational cost against adaptation speed. Regime features are computed from returns alone, using only returns up to the day before the forecast date, and normalised with z-scoring (means and standard deviations from the initial training window) and clipping at ±5 standard deviations. Synthetic assets are seeded from their tickers with CRC32, so every table can be regenerated exactly from the repository. The calibration layer is parameter-free at deployment time given fixed choices of λ, γ, c, and δ; we use λ = 0.01, γ = 1.0, c = 1.0, and δ = 0.05 throughout. The complete codebase, including all experiment scripts and this paper’s generation code, is available in the project repository.</w:t>
      </w:r>
    </w:p>
    <w:p>
      <w:pPr>
        <w:pStyle w:val="Heading1"/>
        <w:spacing w:after="160" w:before="280"/>
      </w:pPr>
      <w:r>
        <w:rPr>
          <w:rFonts w:ascii="Times New Roman" w:cs="Times New Roman" w:eastAsia="Times New Roman" w:hAnsi="Times New Roman"/>
          <w:b/>
          <w:bCs/>
          <w:sz w:val="28"/>
          <w:szCs w:val="28"/>
        </w:rPr>
        <w:t xml:space="preserve">Appendix B: Proof Sketches</w:t>
      </w:r>
    </w:p>
    <w:p>
      <w:pPr>
        <w:pStyle w:val="Heading2"/>
        <w:spacing w:after="160" w:before="280"/>
      </w:pPr>
      <w:r>
        <w:rPr>
          <w:rFonts w:ascii="Times New Roman" w:cs="Times New Roman" w:eastAsia="Times New Roman" w:hAnsi="Times New Roman"/>
          <w:b/>
          <w:bCs/>
          <w:sz w:val="24"/>
          <w:szCs w:val="24"/>
        </w:rPr>
        <w:t xml:space="preserve">B.1 Proof Sketch for Theorem 1</w:t>
      </w:r>
    </w:p>
    <w:p>
      <w:pPr>
        <w:spacing w:after="120" w:line="276"/>
        <w:jc w:val="both"/>
      </w:pPr>
      <w:r>
        <w:rPr>
          <w:rFonts w:ascii="Times New Roman" w:cs="Times New Roman" w:eastAsia="Times New Roman" w:hAnsi="Times New Roman"/>
          <w:sz w:val="22"/>
          <w:szCs w:val="22"/>
        </w:rPr>
        <w:t xml:space="preserve">Under weighted exchangeability, the weighted empirical CDF concentrates around the true weighted CDF at rate O(n_eff^{−1/2}) by the weighted DKW inequality. The one-sided calibration quantile at level 1−p+ε_t exceeds the true (1−p)-quantile with probability at least 1−δ, yielding the desired coverage bound. The inflation term ε_t absorbs the empirical-process fluctuation, giving P(L_t &gt; q̃_t^(p)) ≤ p + η_t where η_t is controlled by the gap between ε_t and the actual empirical-process deviation.</w:t>
      </w:r>
    </w:p>
    <w:p>
      <w:pPr>
        <w:pStyle w:val="Heading2"/>
        <w:spacing w:after="160" w:before="280"/>
      </w:pPr>
      <w:r>
        <w:rPr>
          <w:rFonts w:ascii="Times New Roman" w:cs="Times New Roman" w:eastAsia="Times New Roman" w:hAnsi="Times New Roman"/>
          <w:b/>
          <w:bCs/>
          <w:sz w:val="24"/>
          <w:szCs w:val="24"/>
        </w:rPr>
        <w:t xml:space="preserve">B.2 Proof Sketch for Theorem 2</w:t>
      </w:r>
    </w:p>
    <w:p>
      <w:pPr>
        <w:spacing w:after="120" w:line="276"/>
        <w:jc w:val="both"/>
      </w:pPr>
      <w:r>
        <w:rPr>
          <w:rFonts w:ascii="Times New Roman" w:cs="Times New Roman" w:eastAsia="Times New Roman" w:hAnsi="Times New Roman"/>
          <w:sz w:val="22"/>
          <w:szCs w:val="22"/>
        </w:rPr>
        <w:t xml:space="preserve">For K tail levels, apply Theorem 1 to each level with confidence budget δ/K. By the union bound, the probability that any level is violated is at most K · (δ/K) = δ. The log(4K/δ) term in the DKW inflation naturally incorporates this budget allocation.</w:t>
      </w:r>
    </w:p>
    <w:p>
      <w:pPr>
        <w:pStyle w:val="Heading2"/>
        <w:spacing w:after="160" w:before="280"/>
      </w:pPr>
      <w:r>
        <w:rPr>
          <w:rFonts w:ascii="Times New Roman" w:cs="Times New Roman" w:eastAsia="Times New Roman" w:hAnsi="Times New Roman"/>
          <w:b/>
          <w:bCs/>
          <w:sz w:val="24"/>
          <w:szCs w:val="24"/>
        </w:rPr>
        <w:t xml:space="preserve">B.3 Proof Sketch for Theorem 3</w:t>
      </w:r>
    </w:p>
    <w:p>
      <w:pPr>
        <w:spacing w:after="120" w:line="276"/>
        <w:jc w:val="both"/>
      </w:pPr>
      <w:r>
        <w:rPr>
          <w:rFonts w:ascii="Times New Roman" w:cs="Times New Roman" w:eastAsia="Times New Roman" w:hAnsi="Times New Roman"/>
          <w:sz w:val="22"/>
          <w:szCs w:val="22"/>
        </w:rPr>
        <w:t xml:space="preserve">Decompose the calibration error into three terms via the triangle inequality. The first term is the weighted empirical-process error (bounded by Theorem 1). The second is the regime-mismatch term: if the true conditional distribution at time t differs from the calibration-set mixture by at most ε_regime (measured by the weighted average distance CΣ w_i ρ(z_i, z_t)), then the true quantile is perturbed by at most ε_regime under standard quantile-sensitivity results. The third is the base-model error, which passes through the calibration layer as additive bias.</w:t>
      </w:r>
    </w:p>
    <w:p>
      <w:pPr>
        <w:pStyle w:val="Heading1"/>
        <w:spacing w:after="160" w:before="280"/>
      </w:pPr>
      <w:r>
        <w:rPr>
          <w:rFonts w:ascii="Times New Roman" w:cs="Times New Roman" w:eastAsia="Times New Roman" w:hAnsi="Times New Roman"/>
          <w:b/>
          <w:bCs/>
          <w:sz w:val="28"/>
          <w:szCs w:val="28"/>
        </w:rPr>
        <w:t xml:space="preserve">Appendix C: Revision Notes (October 2026)</w:t>
      </w:r>
    </w:p>
    <w:p>
      <w:pPr>
        <w:spacing w:after="120" w:line="276"/>
        <w:jc w:val="both"/>
      </w:pPr>
      <w:r>
        <w:rPr>
          <w:rFonts w:ascii="Times New Roman" w:cs="Times New Roman" w:eastAsia="Times New Roman" w:hAnsi="Times New Roman"/>
          <w:sz w:val="22"/>
          <w:szCs w:val="22"/>
        </w:rPr>
        <w:t xml:space="preserve">The first version of this paper (March 2026) reported results affected by three problems in the experiment code, all fixed in this revision. First, on the first 200 test days the calibration window reached back before the first base forecast, so no calibrated forecast existed: the Full DKW variant's missing forecasts were scored as non-breaches, and Full+Mono silently used the uncalibrated forecast. Evaluation now begins once the calibration window is full, and every calibrator is scored on the same days. Second, the rolling regime features for day t included that day's return and were normalised over the full sample; they now use returns up to t−1 and statistics from the initial training window. Third, the synthetic asset paths were seeded non-reproducibly; they are now seeded from their tickers. In addition, the last column of Table 1 was labelled Clustering but showed the Christoffersen p-value, and the last column of Table 2 was labelled Overshoot but showed the clustering metric. All tables and figures were regenerated. The headline GARCH result changes from 2.78% to 0.67% exceedances in the first version to 3.13% to 0.88% here.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Regime-Adaptive Calibration for Tail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2026-10-23T14:30:12.304Z</dcterms:created>
  <dcterms:modified xsi:type="dcterms:W3CDTF">2026-10-23T14:30:12.304Z</dcterms:modified>
</cp:coreProperties>
</file>

<file path=docProps/custom.xml><?xml version="1.0" encoding="utf-8"?>
<Properties xmlns="http://schemas.openxmlformats.org/officeDocument/2006/custom-properties" xmlns:vt="http://schemas.openxmlformats.org/officeDocument/2006/docPropsVTypes"/>
</file>