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365D"/>
          <w:sz w:val="28"/>
          <w:szCs w:val="28"/>
        </w:rPr>
        <w:t xml:space="preserve">Scope Boundary — One Page</w:t>
      </w:r>
    </w:p>
    <w:p>
      <w:pPr>
        <w:spacing w:after="120"/>
      </w:pPr>
      <w:r>
        <w:rPr>
          <w:rFonts w:ascii="Calibri" w:cs="Calibri" w:eastAsia="Calibri" w:hAnsi="Calibri"/>
          <w:color w:val="333333"/>
          <w:sz w:val="16"/>
          <w:szCs w:val="16"/>
        </w:rPr>
        <w:t xml:space="preserve">Jacobs represents Xcel. Jacobs does not design, construct, procure in its own name, operate, or energize the station unless the PSOW explicitly says otherwise. Designer/EPC remains Engineer of Record and constructor of record for its contracted work.</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680"/>
        <w:gridCol w:w="3180"/>
        <w:gridCol w:w="3180"/>
        <w:gridCol w:w="3120"/>
      </w:tblGrid>
      <w:tr>
        <w:trPr>
          <w:cantSplit/>
        </w:trPr>
        <w:tc>
          <w:tcPr>
            <w:tcW w:type="dxa" w:w="1680"/>
            <w:tcBorders>
              <w:top w:val="single" w:color="C5CDD6" w:sz="4"/>
              <w:left w:val="single" w:color="C5CDD6" w:sz="4"/>
              <w:bottom w:val="single" w:color="C5CDD6" w:sz="4"/>
              <w:right w:val="single" w:color="C5CDD6" w:sz="4"/>
            </w:tcBorders>
            <w:shd w:fill="1B365D" w:val="clear"/>
            <w:tcMar>
              <w:top w:type="dxa" w:w="40"/>
              <w:left w:type="dxa" w:w="60"/>
              <w:bottom w:type="dxa" w:w="40"/>
              <w:right w:type="dxa" w:w="60"/>
            </w:tcMar>
            <w:vAlign w:val="center"/>
          </w:tcPr>
          <w:p>
            <w:pPr>
              <w:spacing w:after="0" w:before="0" w:line="200"/>
            </w:pPr>
            <w:r>
              <w:rPr>
                <w:rFonts w:ascii="Calibri" w:cs="Calibri" w:eastAsia="Calibri" w:hAnsi="Calibri"/>
                <w:b/>
                <w:bCs/>
                <w:color w:val="FFFFFF"/>
                <w:sz w:val="15"/>
                <w:szCs w:val="15"/>
              </w:rPr>
              <w:t xml:space="preserve">Workstream</w:t>
            </w:r>
          </w:p>
        </w:tc>
        <w:tc>
          <w:tcPr>
            <w:tcW w:type="dxa" w:w="3180"/>
            <w:tcBorders>
              <w:top w:val="single" w:color="C5CDD6" w:sz="4"/>
              <w:left w:val="single" w:color="C5CDD6" w:sz="4"/>
              <w:bottom w:val="single" w:color="C5CDD6" w:sz="4"/>
              <w:right w:val="single" w:color="C5CDD6" w:sz="4"/>
            </w:tcBorders>
            <w:shd w:fill="1B365D" w:val="clear"/>
            <w:tcMar>
              <w:top w:type="dxa" w:w="40"/>
              <w:left w:type="dxa" w:w="60"/>
              <w:bottom w:type="dxa" w:w="40"/>
              <w:right w:type="dxa" w:w="60"/>
            </w:tcMar>
            <w:vAlign w:val="center"/>
          </w:tcPr>
          <w:p>
            <w:pPr>
              <w:spacing w:after="0" w:before="0" w:line="200"/>
            </w:pPr>
            <w:r>
              <w:rPr>
                <w:rFonts w:ascii="Calibri" w:cs="Calibri" w:eastAsia="Calibri" w:hAnsi="Calibri"/>
                <w:b/>
                <w:bCs/>
                <w:color w:val="FFFFFF"/>
                <w:sz w:val="15"/>
                <w:szCs w:val="15"/>
              </w:rPr>
              <w:t xml:space="preserve">Jacobs (PM / Owner’s Engineer)</w:t>
            </w:r>
          </w:p>
        </w:tc>
        <w:tc>
          <w:tcPr>
            <w:tcW w:type="dxa" w:w="3180"/>
            <w:tcBorders>
              <w:top w:val="single" w:color="C5CDD6" w:sz="4"/>
              <w:left w:val="single" w:color="C5CDD6" w:sz="4"/>
              <w:bottom w:val="single" w:color="C5CDD6" w:sz="4"/>
              <w:right w:val="single" w:color="C5CDD6" w:sz="4"/>
            </w:tcBorders>
            <w:shd w:fill="1B365D" w:val="clear"/>
            <w:tcMar>
              <w:top w:type="dxa" w:w="40"/>
              <w:left w:type="dxa" w:w="60"/>
              <w:bottom w:type="dxa" w:w="40"/>
              <w:right w:type="dxa" w:w="60"/>
            </w:tcMar>
            <w:vAlign w:val="center"/>
          </w:tcPr>
          <w:p>
            <w:pPr>
              <w:spacing w:after="0" w:before="0" w:line="200"/>
            </w:pPr>
            <w:r>
              <w:rPr>
                <w:rFonts w:ascii="Calibri" w:cs="Calibri" w:eastAsia="Calibri" w:hAnsi="Calibri"/>
                <w:b/>
                <w:bCs/>
                <w:color w:val="FFFFFF"/>
                <w:sz w:val="15"/>
                <w:szCs w:val="15"/>
              </w:rPr>
              <w:t xml:space="preserve">Xcel Energy (Owner / Operator)</w:t>
            </w:r>
          </w:p>
        </w:tc>
        <w:tc>
          <w:tcPr>
            <w:tcW w:type="dxa" w:w="3120"/>
            <w:tcBorders>
              <w:top w:val="single" w:color="C5CDD6" w:sz="4"/>
              <w:left w:val="single" w:color="C5CDD6" w:sz="4"/>
              <w:bottom w:val="single" w:color="C5CDD6" w:sz="4"/>
              <w:right w:val="single" w:color="C5CDD6" w:sz="4"/>
            </w:tcBorders>
            <w:shd w:fill="1B365D" w:val="clear"/>
            <w:tcMar>
              <w:top w:type="dxa" w:w="40"/>
              <w:left w:type="dxa" w:w="60"/>
              <w:bottom w:type="dxa" w:w="40"/>
              <w:right w:type="dxa" w:w="60"/>
            </w:tcMar>
            <w:vAlign w:val="center"/>
          </w:tcPr>
          <w:p>
            <w:pPr>
              <w:spacing w:after="0" w:before="0" w:line="200"/>
            </w:pPr>
            <w:r>
              <w:rPr>
                <w:rFonts w:ascii="Calibri" w:cs="Calibri" w:eastAsia="Calibri" w:hAnsi="Calibri"/>
                <w:b/>
                <w:bCs/>
                <w:color w:val="FFFFFF"/>
                <w:sz w:val="15"/>
                <w:szCs w:val="15"/>
              </w:rPr>
              <w:t xml:space="preserve">Designer / EPC / Constructor</w:t>
            </w:r>
          </w:p>
        </w:tc>
      </w:tr>
      <w:tr>
        <w:trPr>
          <w:cantSplit/>
        </w:trPr>
        <w:tc>
          <w:tcPr>
            <w:tcW w:type="dxa" w:w="16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Authorization &amp; money</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Track forecast vs baseline; flag variances; package change recommendations.</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Approves funding, baseline budget, and ISD. Owns rate recovery and commercial contracts.</w:t>
            </w:r>
          </w:p>
        </w:tc>
        <w:tc>
          <w:tcPr>
            <w:tcW w:type="dxa" w:w="312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Bids and executes contracted price. No authority to change owner baseline.</w:t>
            </w:r>
          </w:p>
        </w:tc>
      </w:tr>
      <w:tr>
        <w:trPr>
          <w:cantSplit/>
        </w:trPr>
        <w:tc>
          <w:tcPr>
            <w:tcW w:type="dxa" w:w="16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Standards &amp; criteria</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Confirm deliverables match Xcel standards; log deviations; recommend accept/reject.</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Owns design criteria, equipment standards, and protection philosophy.</w:t>
            </w:r>
          </w:p>
        </w:tc>
        <w:tc>
          <w:tcPr>
            <w:tcW w:type="dxa" w:w="312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Designs to Xcel standards and interconnection requirements. Engineer of Record for its design.</w:t>
            </w:r>
          </w:p>
        </w:tc>
      </w:tr>
      <w:tr>
        <w:trPr>
          <w:cantSplit/>
        </w:trPr>
        <w:tc>
          <w:tcPr>
            <w:tcW w:type="dxa" w:w="16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Land, site, permits</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Track critical dates; identify layout impacts; coordinate interfaces. Does not hold title.</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Owns land strategy, ROW, site control, and most regulatory filings (incl. PUCT if required).</w:t>
            </w:r>
          </w:p>
        </w:tc>
        <w:tc>
          <w:tcPr>
            <w:tcW w:type="dxa" w:w="312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Supports applications with drawings/calcs. Obtains construction permits assigned in contract.</w:t>
            </w:r>
          </w:p>
        </w:tc>
      </w:tr>
      <w:tr>
        <w:trPr>
          <w:cantSplit/>
        </w:trPr>
        <w:tc>
          <w:tcPr>
            <w:tcW w:type="dxa" w:w="16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System / outages</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Coordinate outage needs into the project schedule. Do not request switching.</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System planning, interconnection, switching, and energization authority.</w:t>
            </w:r>
          </w:p>
        </w:tc>
        <w:tc>
          <w:tcPr>
            <w:tcW w:type="dxa" w:w="312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Plans construction around approved outage windows. No grid-operating authority.</w:t>
            </w:r>
          </w:p>
        </w:tc>
      </w:tr>
      <w:tr>
        <w:trPr>
          <w:cantSplit/>
        </w:trPr>
        <w:tc>
          <w:tcPr>
            <w:tcW w:type="dxa" w:w="16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Project controls</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Run weekly progress and schedule reviews; maintain action/risk/change logs; report status.</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Sets reporting cadence and accepts official schedule/cost baselines.</w:t>
            </w:r>
          </w:p>
        </w:tc>
        <w:tc>
          <w:tcPr>
            <w:tcW w:type="dxa" w:w="312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Builds and updates the execution schedule and look-ahead. Owns means-and-methods timing.</w:t>
            </w:r>
          </w:p>
        </w:tc>
      </w:tr>
      <w:tr>
        <w:trPr>
          <w:cantSplit/>
        </w:trPr>
        <w:tc>
          <w:tcPr>
            <w:tcW w:type="dxa" w:w="16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Engineering design</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Does not stamp design. Reviews 30/60/90/IFC; constructability; comment log to closure.</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Approves design-basis and standard deviations. May retain internal SME concurrence.</w:t>
            </w:r>
          </w:p>
        </w:tc>
        <w:tc>
          <w:tcPr>
            <w:tcW w:type="dxa" w:w="312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Produces design, studies, specs, and IFC. Remains Engineer of Record unless contract says otherwise.</w:t>
            </w:r>
          </w:p>
        </w:tc>
      </w:tr>
      <w:tr>
        <w:trPr>
          <w:cantSplit/>
        </w:trPr>
        <w:tc>
          <w:tcPr>
            <w:tcW w:type="dxa" w:w="16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Procurement</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Review specs and vendor submittals; track long-leads; witness FAT if scoped.</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Issues or approves major POs and vendor selection per Xcel procurement rules.</w:t>
            </w:r>
          </w:p>
        </w:tc>
        <w:tc>
          <w:tcPr>
            <w:tcW w:type="dxa" w:w="312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Buys and expedites equipment in its scope. Owns vendor performance for contracted items.</w:t>
            </w:r>
          </w:p>
        </w:tc>
      </w:tr>
      <w:tr>
        <w:trPr>
          <w:cantSplit/>
        </w:trPr>
        <w:tc>
          <w:tcPr>
            <w:tcW w:type="dxa" w:w="16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Construction</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Surveillance only: quality, progress, RFIs, changes. Not the constructor or GC.</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Site access rules, utility-owned work, and final acceptance of the asset.</w:t>
            </w:r>
          </w:p>
        </w:tc>
        <w:tc>
          <w:tcPr>
            <w:tcW w:type="dxa" w:w="312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Means and methods, labor, safety execution, quality of installed work, punchlist closeout.</w:t>
            </w:r>
          </w:p>
        </w:tc>
      </w:tr>
      <w:tr>
        <w:trPr>
          <w:cantSplit/>
        </w:trPr>
        <w:tc>
          <w:tcPr>
            <w:tcW w:type="dxa" w:w="16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Safety</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Verify HASP exists and is followed; observations; escalate stop-work concerns.</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Sets utility safety requirements; incident notification thresholds; site access authorization.</w:t>
            </w:r>
          </w:p>
        </w:tc>
        <w:tc>
          <w:tcPr>
            <w:tcW w:type="dxa" w:w="312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Owns the site safety plan, daily JHA/toolbox, and OSHA/contractor compliance.</w:t>
            </w:r>
          </w:p>
        </w:tc>
      </w:tr>
      <w:tr>
        <w:trPr>
          <w:cantSplit/>
        </w:trPr>
        <w:tc>
          <w:tcPr>
            <w:tcW w:type="dxa" w:w="16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Commission &amp; ISD</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Witness tests per hold points; punchlist quality; turnover package completeness.</w:t>
            </w:r>
          </w:p>
        </w:tc>
        <w:tc>
          <w:tcPr>
            <w:tcW w:type="dxa" w:w="318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Authorizes energization and commercial operation. Operations takes the asset.</w:t>
            </w:r>
          </w:p>
        </w:tc>
        <w:tc>
          <w:tcPr>
            <w:tcW w:type="dxa" w:w="3120"/>
            <w:tcBorders>
              <w:top w:val="single" w:color="C5CDD6" w:sz="4"/>
              <w:left w:val="single" w:color="C5CDD6" w:sz="4"/>
              <w:bottom w:val="single" w:color="C5CDD6" w:sz="4"/>
              <w:right w:val="single" w:color="C5CDD6" w:sz="4"/>
            </w:tcBorders>
            <w:shd w:fill="EEF2F6"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Performs tests, corrects deficiencies, delivers as-builts, training, and spare parts per spec.</w:t>
            </w:r>
          </w:p>
        </w:tc>
      </w:tr>
      <w:tr>
        <w:trPr>
          <w:cantSplit/>
        </w:trPr>
        <w:tc>
          <w:tcPr>
            <w:tcW w:type="dxa" w:w="16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bCs/>
                <w:color w:val="222222"/>
                <w:sz w:val="13"/>
                <w:szCs w:val="13"/>
              </w:rPr>
              <w:t xml:space="preserve">Closeout</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Confirm as-builts, warranties, lessons learned, and final accounts package.</w:t>
            </w:r>
          </w:p>
        </w:tc>
        <w:tc>
          <w:tcPr>
            <w:tcW w:type="dxa" w:w="318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Accepts the asset, closes capital work order, and archives owner records.</w:t>
            </w:r>
          </w:p>
        </w:tc>
        <w:tc>
          <w:tcPr>
            <w:tcW w:type="dxa" w:w="3120"/>
            <w:tcBorders>
              <w:top w:val="single" w:color="C5CDD6" w:sz="4"/>
              <w:left w:val="single" w:color="C5CDD6" w:sz="4"/>
              <w:bottom w:val="single" w:color="C5CDD6" w:sz="4"/>
              <w:right w:val="single" w:color="C5CDD6" w:sz="4"/>
            </w:tcBorders>
            <w:shd w:fill="FFFFFF" w:val="clear"/>
            <w:tcMar>
              <w:top w:type="dxa" w:w="40"/>
              <w:left w:type="dxa" w:w="60"/>
              <w:bottom w:type="dxa" w:w="40"/>
              <w:right w:type="dxa" w:w="60"/>
            </w:tcMar>
            <w:vAlign w:val="top"/>
          </w:tcPr>
          <w:p>
            <w:pPr>
              <w:spacing w:after="0" w:before="0" w:line="200"/>
            </w:pPr>
            <w:r>
              <w:rPr>
                <w:rFonts w:ascii="Calibri" w:cs="Calibri" w:eastAsia="Calibri" w:hAnsi="Calibri"/>
                <w:b w:val="false"/>
                <w:bCs w:val="false"/>
                <w:color w:val="222222"/>
                <w:sz w:val="13"/>
                <w:szCs w:val="13"/>
              </w:rPr>
              <w:t xml:space="preserve">Submits complete turnover dossier. Warranty repairs remain contractor obligation.</w:t>
            </w:r>
          </w:p>
        </w:tc>
      </w:tr>
    </w:tbl>
    <w:p>
      <w:pPr>
        <w:spacing w:after="60" w:before="160"/>
      </w:pPr>
      <w:r>
        <w:rPr>
          <w:rFonts w:ascii="Calibri" w:cs="Calibri" w:eastAsia="Calibri" w:hAnsi="Calibri"/>
          <w:b/>
          <w:bCs/>
          <w:color w:val="1B365D"/>
          <w:sz w:val="20"/>
          <w:szCs w:val="20"/>
        </w:rPr>
        <w:t xml:space="preserve">Requires Xcel approval (Jacobs recommends; Xcel decides)</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5580"/>
        <w:gridCol w:w="5580"/>
      </w:tblGrid>
      <w:tr>
        <w:tc>
          <w:tcPr>
            <w:tcW w:type="dxa" w:w="5580"/>
            <w:tcBorders>
              <w:top w:val="single" w:color="C5CDD6" w:sz="4"/>
              <w:left w:val="single" w:color="C5CDD6" w:sz="4"/>
              <w:bottom w:val="single" w:color="C5CDD6" w:sz="4"/>
              <w:right w:val="single" w:color="C5CDD6" w:sz="4"/>
            </w:tcBorders>
            <w:shd w:fill="F4F1EA" w:val="clear"/>
            <w:tcMar>
              <w:top w:type="dxa" w:w="40"/>
              <w:left w:type="dxa" w:w="60"/>
              <w:bottom w:type="dxa" w:w="40"/>
              <w:right w:type="dxa" w:w="60"/>
            </w:tcMar>
            <w:vAlign w:val="top"/>
          </w:tcPr>
          <w:p>
            <w:pPr>
              <w:spacing w:after="0" w:before="0" w:line="220"/>
            </w:pPr>
            <w:r>
              <w:rPr>
                <w:rFonts w:ascii="Calibri" w:cs="Calibri" w:eastAsia="Calibri" w:hAnsi="Calibri"/>
                <w:color w:val="222222"/>
                <w:sz w:val="15"/>
                <w:szCs w:val="15"/>
              </w:rPr>
              <w:t xml:space="preserve">  Scope change, budget change, or ISD change</w:t>
            </w:r>
          </w:p>
          <w:p>
            <w:pPr>
              <w:spacing w:after="0" w:before="0" w:line="220"/>
            </w:pPr>
            <w:r>
              <w:rPr>
                <w:rFonts w:ascii="Calibri" w:cs="Calibri" w:eastAsia="Calibri" w:hAnsi="Calibri"/>
                <w:color w:val="222222"/>
                <w:sz w:val="15"/>
                <w:szCs w:val="15"/>
              </w:rPr>
              <w:t xml:space="preserve">  Deviation from Xcel standards or approved design basis</w:t>
            </w:r>
          </w:p>
          <w:p>
            <w:pPr>
              <w:spacing w:after="0" w:before="0" w:line="220"/>
            </w:pPr>
            <w:r>
              <w:rPr>
                <w:rFonts w:ascii="Calibri" w:cs="Calibri" w:eastAsia="Calibri" w:hAnsi="Calibri"/>
                <w:color w:val="222222"/>
                <w:sz w:val="15"/>
                <w:szCs w:val="15"/>
              </w:rPr>
              <w:t xml:space="preserve">  IFC / construction start on a package</w:t>
            </w:r>
          </w:p>
          <w:p>
            <w:pPr>
              <w:spacing w:after="0" w:before="0" w:line="220"/>
            </w:pPr>
            <w:r>
              <w:rPr>
                <w:rFonts w:ascii="Calibri" w:cs="Calibri" w:eastAsia="Calibri" w:hAnsi="Calibri"/>
                <w:color w:val="222222"/>
                <w:sz w:val="15"/>
                <w:szCs w:val="15"/>
              </w:rPr>
              <w:t xml:space="preserve">  Major equipment vendor or equivalent substitution</w:t>
            </w:r>
          </w:p>
        </w:tc>
        <w:tc>
          <w:tcPr>
            <w:tcW w:type="dxa" w:w="5580"/>
            <w:tcBorders>
              <w:top w:val="single" w:color="C5CDD6" w:sz="4"/>
              <w:left w:val="single" w:color="C5CDD6" w:sz="4"/>
              <w:bottom w:val="single" w:color="C5CDD6" w:sz="4"/>
              <w:right w:val="single" w:color="C5CDD6" w:sz="4"/>
            </w:tcBorders>
            <w:shd w:fill="F4F1EA" w:val="clear"/>
            <w:tcMar>
              <w:top w:type="dxa" w:w="40"/>
              <w:left w:type="dxa" w:w="60"/>
              <w:bottom w:type="dxa" w:w="40"/>
              <w:right w:type="dxa" w:w="60"/>
            </w:tcMar>
            <w:vAlign w:val="top"/>
          </w:tcPr>
          <w:p>
            <w:pPr>
              <w:spacing w:after="0" w:before="0" w:line="220"/>
            </w:pPr>
            <w:r>
              <w:rPr>
                <w:rFonts w:ascii="Calibri" w:cs="Calibri" w:eastAsia="Calibri" w:hAnsi="Calibri"/>
                <w:color w:val="222222"/>
                <w:sz w:val="15"/>
                <w:szCs w:val="15"/>
              </w:rPr>
              <w:t xml:space="preserve">  Land settlement, new ROW, or permit strategy change</w:t>
            </w:r>
          </w:p>
          <w:p>
            <w:pPr>
              <w:spacing w:after="0" w:before="0" w:line="220"/>
            </w:pPr>
            <w:r>
              <w:rPr>
                <w:rFonts w:ascii="Calibri" w:cs="Calibri" w:eastAsia="Calibri" w:hAnsi="Calibri"/>
                <w:color w:val="222222"/>
                <w:sz w:val="15"/>
                <w:szCs w:val="15"/>
              </w:rPr>
              <w:t xml:space="preserve">  Energization / in-service</w:t>
            </w:r>
          </w:p>
          <w:p>
            <w:pPr>
              <w:spacing w:after="0" w:before="0" w:line="220"/>
            </w:pPr>
            <w:r>
              <w:rPr>
                <w:rFonts w:ascii="Calibri" w:cs="Calibri" w:eastAsia="Calibri" w:hAnsi="Calibri"/>
                <w:color w:val="222222"/>
                <w:sz w:val="15"/>
                <w:szCs w:val="15"/>
              </w:rPr>
              <w:t xml:space="preserve">  Safety incident communication above the project threshold</w:t>
            </w:r>
          </w:p>
          <w:p>
            <w:pPr>
              <w:spacing w:after="0" w:before="0" w:line="220"/>
            </w:pPr>
            <w:r>
              <w:rPr>
                <w:rFonts w:ascii="Calibri" w:cs="Calibri" w:eastAsia="Calibri" w:hAnsi="Calibri"/>
                <w:color w:val="222222"/>
                <w:sz w:val="15"/>
                <w:szCs w:val="15"/>
              </w:rPr>
              <w:t xml:space="preserve">  Any commitment to a third party in Xcel’s name</w:t>
            </w:r>
          </w:p>
        </w:tc>
      </w:tr>
    </w:tbl>
    <w:p>
      <w:pPr>
        <w:spacing w:after="40" w:before="140"/>
      </w:pPr>
      <w:r>
        <w:rPr>
          <w:rFonts w:ascii="Calibri" w:cs="Calibri" w:eastAsia="Calibri" w:hAnsi="Calibri"/>
          <w:b/>
          <w:bCs/>
          <w:color w:val="1B365D"/>
          <w:sz w:val="18"/>
          <w:szCs w:val="18"/>
        </w:rPr>
        <w:t xml:space="preserve">Hard “not Jacobs” line</w:t>
      </w:r>
    </w:p>
    <w:p>
      <w:pPr>
        <w:spacing w:after="40"/>
      </w:pPr>
      <w:r>
        <w:rPr>
          <w:rFonts w:ascii="Calibri" w:cs="Calibri" w:eastAsia="Calibri" w:hAnsi="Calibri"/>
          <w:color w:val="333333"/>
          <w:sz w:val="15"/>
          <w:szCs w:val="15"/>
        </w:rPr>
        <w:t xml:space="preserve">Do not stamp drawings. Do not direct craft labor or means and methods. Do not issue switching orders. Do not sign contracts or change orders as Xcel. Do not accept the asset. Do not speak to regulators or landowners as the owner unless Xcel has authorized that communication.</w:t>
      </w:r>
    </w:p>
    <w:p>
      <w:pPr>
        <w:spacing w:before="60"/>
      </w:pPr>
      <w:r>
        <w:rPr>
          <w:rFonts w:ascii="Calibri" w:cs="Calibri" w:eastAsia="Calibri" w:hAnsi="Calibri"/>
          <w:b/>
          <w:bCs/>
          <w:color w:val="2E5A4F"/>
          <w:sz w:val="15"/>
          <w:szCs w:val="15"/>
        </w:rPr>
        <w:t xml:space="preserve">Confirm on this project: </w:t>
      </w:r>
      <w:r>
        <w:rPr>
          <w:rFonts w:ascii="Calibri" w:cs="Calibri" w:eastAsia="Calibri" w:hAnsi="Calibri"/>
          <w:color w:val="333333"/>
          <w:sz w:val="15"/>
          <w:szCs w:val="15"/>
        </w:rPr>
        <w:t xml:space="preserve">delivery model (Xcel design + constructor / third-party A-E + constructor / EPC)  •  who holds Engineer of Record  •  who buys the transformer  •  who files permits  •  Jacobs field presence vs desk review.</w:t>
      </w:r>
    </w:p>
    <w:sectPr>
      <w:headerReference w:type="default" r:id="rId7"/>
      <w:footerReference w:type="default" r:id="rId8"/>
      <w:pgSz w:w="12240" w:h="15840" w:orient="portrait"/>
      <w:pgMar w:top="500" w:right="540" w:bottom="50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i/>
        <w:iCs/>
        <w:color w:val="666666"/>
        <w:sz w:val="14"/>
        <w:szCs w:val="14"/>
      </w:rPr>
      <w:t xml:space="preserve">Not a contract. Default utility OE split until the project PSOW, delivery model, and RACI are confirmed.  •  </w:t>
    </w:r>
    <w:r>
      <w:rPr>
        <w:rFonts w:ascii="Calibri" w:cs="Calibri" w:eastAsia="Calibri" w:hAnsi="Calibri"/>
        <w:color w:val="666666"/>
        <w:sz w:val="14"/>
        <w:szCs w:val="14"/>
      </w:rPr>
      <w:t xml:space="preserve">Rev 0  |  10 Sep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Calibri" w:cs="Calibri" w:eastAsia="Calibri" w:hAnsi="Calibri"/>
        <w:b/>
        <w:bCs/>
        <w:color w:val="8B2E2E"/>
        <w:sz w:val="14"/>
        <w:szCs w:val="14"/>
      </w:rPr>
      <w:t xml:space="preserve">WORKING DRAFT — CONFIRM AGAINST PSOW  </w:t>
    </w:r>
    <w:r>
      <w:rPr>
        <w:rFonts w:ascii="Calibri" w:cs="Calibri" w:eastAsia="Calibri" w:hAnsi="Calibri"/>
        <w:color w:val="555555"/>
        <w:sz w:val="14"/>
        <w:szCs w:val="14"/>
      </w:rPr>
      <w:t xml:space="preserve">Jacobs PM/OE  |  Xcel Capital Delivery  |  Greenfield Substation west of Ralls, TX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4"/>
        <w:szCs w:val="1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2026-09-10T22:19:59.109Z</dcterms:created>
  <dcterms:modified xsi:type="dcterms:W3CDTF">2026-09-10T22:19:59.110Z</dcterms:modified>
</cp:coreProperties>
</file>

<file path=docProps/custom.xml><?xml version="1.0" encoding="utf-8"?>
<Properties xmlns="http://schemas.openxmlformats.org/officeDocument/2006/custom-properties" xmlns:vt="http://schemas.openxmlformats.org/officeDocument/2006/docPropsVTypes"/>
</file>