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C4A35A"/>
          <w:sz w:val="18"/>
          <w:szCs w:val="18"/>
        </w:rPr>
        <w:t xml:space="preserve">ACTION PLAN</w:t>
      </w:r>
    </w:p>
    <w:p>
      <w:pPr>
        <w:spacing w:after="80"/>
      </w:pPr>
      <w:r>
        <w:rPr>
          <w:rFonts w:ascii="Arial" w:cs="Arial" w:eastAsia="Arial" w:hAnsi="Arial"/>
          <w:b/>
          <w:bCs/>
          <w:color w:val="1B365D"/>
          <w:sz w:val="36"/>
          <w:szCs w:val="36"/>
        </w:rPr>
        <w:t xml:space="preserve">Jacobs Right-Sizing and Billing Correction</w:t>
      </w:r>
    </w:p>
    <w:p>
      <w:pPr>
        <w:spacing w:after="200" w:before="0" w:line="276"/>
        <w:jc w:val="left"/>
      </w:pPr>
      <w:r>
        <w:rPr>
          <w:rFonts w:ascii="Arial" w:cs="Arial" w:eastAsia="Arial" w:hAnsi="Arial"/>
          <w:b w:val="false"/>
          <w:bCs w:val="false"/>
          <w:i/>
          <w:iCs/>
          <w:color w:val="4A4A4A"/>
          <w:sz w:val="22"/>
          <w:szCs w:val="22"/>
        </w:rPr>
        <w:t xml:space="preserve">Four remaining assigned projects — Hare, Tonto, Ranger, Windmill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val="off"/>
        </w:trPr>
        <w:tc>
          <w:tcPr>
            <w:tcW w:type="dxa" w:w="25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b w:val="false"/>
                <w:bCs w:val="false"/>
                <w:i w:val="false"/>
                <w:iCs w:val="false"/>
                <w:color w:val="222222"/>
                <w:sz w:val="17"/>
                <w:szCs w:val="17"/>
              </w:rPr>
              <w:t xml:space="preserve">Prepared by</w:t>
            </w:r>
          </w:p>
        </w:tc>
        <w:tc>
          <w:tcPr>
            <w:tcW w:type="dxa" w:w="75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b w:val="false"/>
                <w:bCs w:val="false"/>
                <w:i w:val="false"/>
                <w:iCs w:val="false"/>
                <w:color w:val="222222"/>
                <w:sz w:val="17"/>
                <w:szCs w:val="17"/>
              </w:rPr>
              <w:t xml:space="preserve">David Schafer, Company Project Lead</w:t>
            </w:r>
          </w:p>
        </w:tc>
      </w:tr>
      <w:tr>
        <w:trPr>
          <w:tblHeader w:val="off"/>
        </w:trPr>
        <w:tc>
          <w:tcPr>
            <w:tcW w:type="dxa" w:w="25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Date</w:t>
            </w:r>
          </w:p>
        </w:tc>
        <w:tc>
          <w:tcPr>
            <w:tcW w:type="dxa" w:w="75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30 September 2026</w:t>
            </w:r>
          </w:p>
        </w:tc>
      </w:tr>
      <w:tr>
        <w:trPr>
          <w:tblHeader w:val="off"/>
        </w:trPr>
        <w:tc>
          <w:tcPr>
            <w:tcW w:type="dxa" w:w="25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Audience</w:t>
            </w:r>
          </w:p>
        </w:tc>
        <w:tc>
          <w:tcPr>
            <w:tcW w:type="dxa" w:w="75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SPS / Xcel leadership · Jacobs engagement lead · Owner PM / PMA / scheduler / accounting · Company OE bench</w:t>
            </w:r>
          </w:p>
        </w:tc>
      </w:tr>
      <w:tr>
        <w:trPr>
          <w:tblHeader w:val="off"/>
        </w:trPr>
        <w:tc>
          <w:tcPr>
            <w:tcW w:type="dxa" w:w="25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Effective</w:t>
            </w:r>
          </w:p>
        </w:tc>
        <w:tc>
          <w:tcPr>
            <w:tcW w:type="dxa" w:w="75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Close of business 30 September 2026. No Jacobs hour after this date bills unless it sits on the authorized roster and a live work order.</w:t>
            </w:r>
          </w:p>
        </w:tc>
      </w:tr>
      <w:tr>
        <w:trPr>
          <w:tblHeader w:val="off"/>
        </w:trPr>
        <w:tc>
          <w:tcPr>
            <w:tcW w:type="dxa" w:w="25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Companion files</w:t>
            </w:r>
          </w:p>
        </w:tc>
        <w:tc>
          <w:tcPr>
            <w:tcW w:type="dxa" w:w="756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SPS Active Portfolio 30/60/90 Plan (23 Sep 2026) · Weekly Engineering Huddle charter (28 Sep 2026)</w:t>
            </w:r>
          </w:p>
        </w:tc>
      </w:tr>
    </w:tbl>
    <w:p>
      <w:pPr>
        <w:spacing w:after="80"/>
      </w:pPr>
    </w:p>
    <w:p>
      <w:pPr>
        <w:spacing w:after="200" w:before="0" w:line="276"/>
        <w:jc w:val="left"/>
      </w:pPr>
      <w:r>
        <w:rPr>
          <w:rFonts w:ascii="Arial" w:cs="Arial" w:eastAsia="Arial" w:hAnsi="Arial"/>
          <w:b w:val="false"/>
          <w:bCs w:val="false"/>
          <w:i w:val="false"/>
          <w:iCs w:val="false"/>
          <w:color w:val="222222"/>
          <w:sz w:val="20"/>
          <w:szCs w:val="20"/>
        </w:rPr>
        <w:t xml:space="preserve">BOTTOM LINE. Jacobs is off Maya and Whiptail as of today. The four live jobs stay. They do not keep the six-job overhead that produced the Whiptail pattern — about $1.7M and 7 percent of project budget billed before 30 percent design, and billed above the contractor. From this date the only functions authorized to sit on a Jacobs-assigned SPS project are one PM, one PMA, one scheduler, accounting, and owner’s engineering. Everyone else comes off the timesheet unless Company Project Lead puts them on a named surge list with a start date, an end date, and a deliverable. We will also go backward: pull the open invoices, match hours to WBS and work order, reject what cannot be tied, and lock the same rule on every future invoice.</w:t>
      </w:r>
    </w:p>
    <w:p>
      <w:pPr>
        <w:pStyle w:val="Heading1"/>
        <w:pBdr>
          <w:bottom w:val="single" w:color="C4A35A" w:sz="12" w:space="1"/>
        </w:pBdr>
        <w:spacing w:after="140" w:before="280"/>
      </w:pPr>
      <w:r>
        <w:rPr>
          <w:rFonts w:ascii="Arial" w:cs="Arial" w:eastAsia="Arial" w:hAnsi="Arial"/>
          <w:b/>
          <w:bCs/>
          <w:color w:val="1B365D"/>
          <w:sz w:val="28"/>
          <w:szCs w:val="28"/>
        </w:rPr>
        <w:t xml:space="preserve">1. Decision</w:t>
      </w:r>
    </w:p>
    <w:p>
      <w:pPr>
        <w:spacing w:after="120" w:before="0" w:line="276"/>
        <w:jc w:val="left"/>
      </w:pPr>
      <w:r>
        <w:rPr>
          <w:rFonts w:ascii="Arial" w:cs="Arial" w:eastAsia="Arial" w:hAnsi="Arial"/>
          <w:b w:val="false"/>
          <w:bCs w:val="false"/>
          <w:i w:val="false"/>
          <w:iCs w:val="false"/>
          <w:color w:val="222222"/>
          <w:sz w:val="20"/>
          <w:szCs w:val="20"/>
        </w:rPr>
        <w:t xml:space="preserve">This plan does three things at the same time.</w:t>
      </w:r>
    </w:p>
    <w:p>
      <w:pPr>
        <w:pStyle w:val="ListParagraph"/>
        <w:numPr>
          <w:ilvl w:val="0"/>
          <w:numId w:val="2"/>
        </w:numPr>
        <w:spacing w:after="60" w:line="260"/>
      </w:pPr>
      <w:r>
        <w:rPr>
          <w:rFonts w:ascii="Arial" w:cs="Arial" w:eastAsia="Arial" w:hAnsi="Arial"/>
          <w:color w:val="222222"/>
          <w:sz w:val="20"/>
          <w:szCs w:val="20"/>
        </w:rPr>
        <w:t xml:space="preserve">Scale Jacobs off anything that is not Hare, Tonto, Ranger, or Windmill. Confirm Maya and Whiptail stop-bill dated 30 September 2026 and transition remaining files to Company.</w:t>
      </w:r>
    </w:p>
    <w:p>
      <w:pPr>
        <w:pStyle w:val="ListParagraph"/>
        <w:numPr>
          <w:ilvl w:val="0"/>
          <w:numId w:val="2"/>
        </w:numPr>
        <w:spacing w:after="60" w:line="260"/>
      </w:pPr>
      <w:r>
        <w:rPr>
          <w:rFonts w:ascii="Arial" w:cs="Arial" w:eastAsia="Arial" w:hAnsi="Arial"/>
          <w:color w:val="222222"/>
          <w:sz w:val="20"/>
          <w:szCs w:val="20"/>
        </w:rPr>
        <w:t xml:space="preserve">Cut the live four down to one authorized project skeleton: PM, PMA, scheduler, accounting, owner’s engineering.</w:t>
      </w:r>
    </w:p>
    <w:p>
      <w:pPr>
        <w:pStyle w:val="ListParagraph"/>
        <w:numPr>
          <w:ilvl w:val="0"/>
          <w:numId w:val="2"/>
        </w:numPr>
        <w:spacing w:after="60" w:line="260"/>
      </w:pPr>
      <w:r>
        <w:rPr>
          <w:rFonts w:ascii="Arial" w:cs="Arial" w:eastAsia="Arial" w:hAnsi="Arial"/>
          <w:color w:val="222222"/>
          <w:sz w:val="20"/>
          <w:szCs w:val="20"/>
        </w:rPr>
        <w:t xml:space="preserve">Install invoice controls so a future project cannot recreate the Whiptail spend curve.</w:t>
      </w:r>
    </w:p>
    <w:p>
      <w:pPr>
        <w:spacing w:after="160" w:before="0" w:line="276"/>
        <w:jc w:val="left"/>
      </w:pPr>
      <w:r>
        <w:rPr>
          <w:rFonts w:ascii="Arial" w:cs="Arial" w:eastAsia="Arial" w:hAnsi="Arial"/>
          <w:b w:val="false"/>
          <w:bCs w:val="false"/>
          <w:i w:val="false"/>
          <w:iCs w:val="false"/>
          <w:color w:val="222222"/>
          <w:sz w:val="20"/>
          <w:szCs w:val="20"/>
        </w:rPr>
        <w:t xml:space="preserve">This is not a redesign of the 23 September portfolio plan. That plan still governs land, P6, WBS, meetings, and design gates. This plan governs who is allowed to charge and how an invoice gets paid.</w:t>
      </w:r>
    </w:p>
    <w:p>
      <w:pPr>
        <w:pStyle w:val="Heading1"/>
        <w:pBdr>
          <w:bottom w:val="single" w:color="C4A35A" w:sz="12" w:space="1"/>
        </w:pBdr>
        <w:spacing w:after="140" w:before="280"/>
      </w:pPr>
      <w:r>
        <w:rPr>
          <w:rFonts w:ascii="Arial" w:cs="Arial" w:eastAsia="Arial" w:hAnsi="Arial"/>
          <w:b/>
          <w:bCs/>
          <w:color w:val="1B365D"/>
          <w:sz w:val="28"/>
          <w:szCs w:val="28"/>
        </w:rPr>
        <w:t xml:space="preserve">2. Why this is required</w:t>
      </w:r>
    </w:p>
    <w:p>
      <w:pPr>
        <w:spacing w:after="120" w:before="0" w:line="276"/>
        <w:jc w:val="left"/>
      </w:pPr>
      <w:r>
        <w:rPr>
          <w:rFonts w:ascii="Arial" w:cs="Arial" w:eastAsia="Arial" w:hAnsi="Arial"/>
          <w:b w:val="false"/>
          <w:bCs w:val="false"/>
          <w:i w:val="false"/>
          <w:iCs w:val="false"/>
          <w:color w:val="222222"/>
          <w:sz w:val="20"/>
          <w:szCs w:val="20"/>
        </w:rPr>
        <w:t xml:space="preserve">The 23 September assessment already named the labor problem: the forecast is wrong because the WBS is wrong, exhibits are not wired to cost, and teams have not read the PSOW and AMDs. Jacobs onboarding still takes three to four weeks, so adding bodies does not buy October or the Hare 6 November page turn. What it does buy is invoice volume.</w:t>
      </w:r>
    </w:p>
    <w:p>
      <w:pPr>
        <w:spacing w:after="120" w:before="0" w:line="276"/>
        <w:jc w:val="left"/>
      </w:pPr>
      <w:r>
        <w:rPr>
          <w:rFonts w:ascii="Arial" w:cs="Arial" w:eastAsia="Arial" w:hAnsi="Arial"/>
          <w:b w:val="false"/>
          <w:bCs w:val="false"/>
          <w:i w:val="false"/>
          <w:iCs w:val="false"/>
          <w:color w:val="222222"/>
          <w:sz w:val="20"/>
          <w:szCs w:val="20"/>
        </w:rPr>
        <w:t xml:space="preserve">Whiptail is the proof case. Spend reached roughly $1.7 million — about 7 percent of project budget — before 30 percent design, with Jacobs billed above Quanta. Maya ISD moved to 2029 and Whiptail to 2030. Both were directed off Jacobs billing by 30 September 2026. If we leave the same roster running on the four remaining jobs, we will pay for the same overhead twice.</w:t>
      </w:r>
    </w:p>
    <w:p>
      <w:pPr>
        <w:spacing w:after="120" w:before="0" w:line="276"/>
        <w:jc w:val="left"/>
      </w:pPr>
      <w:r>
        <w:rPr>
          <w:rFonts w:ascii="Arial" w:cs="Arial" w:eastAsia="Arial" w:hAnsi="Arial"/>
          <w:b w:val="false"/>
          <w:bCs w:val="false"/>
          <w:i w:val="false"/>
          <w:iCs w:val="false"/>
          <w:color w:val="222222"/>
          <w:sz w:val="20"/>
          <w:szCs w:val="20"/>
        </w:rPr>
        <w:t xml:space="preserve">Near-term load that actually exists:</w:t>
      </w:r>
    </w:p>
    <w:p>
      <w:pPr>
        <w:pStyle w:val="ListParagraph"/>
        <w:numPr>
          <w:ilvl w:val="0"/>
          <w:numId w:val="2"/>
        </w:numPr>
        <w:spacing w:after="60" w:line="260"/>
      </w:pPr>
      <w:r>
        <w:rPr>
          <w:rFonts w:ascii="Arial" w:cs="Arial" w:eastAsia="Arial" w:hAnsi="Arial"/>
          <w:color w:val="222222"/>
          <w:sz w:val="20"/>
          <w:szCs w:val="20"/>
        </w:rPr>
        <w:t xml:space="preserve">Hare 30 percent page turn 6 November 2026. Company-furnished transformer 15 March 2028. Governing ISD 15 December 2028.</w:t>
      </w:r>
    </w:p>
    <w:p>
      <w:pPr>
        <w:pStyle w:val="ListParagraph"/>
        <w:numPr>
          <w:ilvl w:val="0"/>
          <w:numId w:val="2"/>
        </w:numPr>
        <w:spacing w:after="60" w:line="260"/>
      </w:pPr>
      <w:r>
        <w:rPr>
          <w:rFonts w:ascii="Arial" w:cs="Arial" w:eastAsia="Arial" w:hAnsi="Arial"/>
          <w:color w:val="222222"/>
          <w:sz w:val="20"/>
          <w:szCs w:val="20"/>
        </w:rPr>
        <w:t xml:space="preserve">Tonto already past 30 percent. 60 percent discussed as about two months early — only if it does not raid the Hare / Ranger / Windmill review bench.</w:t>
      </w:r>
    </w:p>
    <w:p>
      <w:pPr>
        <w:pStyle w:val="ListParagraph"/>
        <w:numPr>
          <w:ilvl w:val="0"/>
          <w:numId w:val="2"/>
        </w:numPr>
        <w:spacing w:after="60" w:line="260"/>
      </w:pPr>
      <w:r>
        <w:rPr>
          <w:rFonts w:ascii="Arial" w:cs="Arial" w:eastAsia="Arial" w:hAnsi="Arial"/>
          <w:color w:val="222222"/>
          <w:sz w:val="20"/>
          <w:szCs w:val="20"/>
        </w:rPr>
        <w:t xml:space="preserve">Ranger and Windmill still inside the October–December 2026 30 percent window.</w:t>
      </w:r>
    </w:p>
    <w:p>
      <w:pPr>
        <w:pStyle w:val="ListParagraph"/>
        <w:numPr>
          <w:ilvl w:val="0"/>
          <w:numId w:val="2"/>
        </w:numPr>
        <w:spacing w:after="60" w:line="260"/>
      </w:pPr>
      <w:r>
        <w:rPr>
          <w:rFonts w:ascii="Arial" w:cs="Arial" w:eastAsia="Arial" w:hAnsi="Arial"/>
          <w:color w:val="222222"/>
          <w:sz w:val="20"/>
          <w:szCs w:val="20"/>
        </w:rPr>
        <w:t xml:space="preserve">Owner review bench is finite: Mike Parrotta at 50 percent / 20 hours per week; David Braunguard and Sarah Pink onboarded; Bill Crowell up to 60 hours per week after a three-week Xcel onboarding. Three 30 percents at about 80 hours each is 240 hours, plus Tonto 60 percent in January 2027.</w:t>
      </w:r>
    </w:p>
    <w:p>
      <w:pPr>
        <w:spacing w:after="160" w:before="0" w:line="276"/>
        <w:jc w:val="left"/>
      </w:pPr>
      <w:r>
        <w:rPr>
          <w:rFonts w:ascii="Arial" w:cs="Arial" w:eastAsia="Arial" w:hAnsi="Arial"/>
          <w:b w:val="false"/>
          <w:bCs w:val="false"/>
          <w:i w:val="false"/>
          <w:iCs w:val="false"/>
          <w:color w:val="222222"/>
          <w:sz w:val="20"/>
          <w:szCs w:val="20"/>
        </w:rPr>
        <w:t xml:space="preserve">A large Jacobs PM / coordinator / discipline cloud does not increase that bench. It invoices against it.</w:t>
      </w:r>
    </w:p>
    <w:p>
      <w:pPr>
        <w:pStyle w:val="Heading1"/>
        <w:pBdr>
          <w:bottom w:val="single" w:color="C4A35A" w:sz="12" w:space="1"/>
        </w:pBdr>
        <w:spacing w:after="140" w:before="280"/>
      </w:pPr>
      <w:r>
        <w:rPr>
          <w:rFonts w:ascii="Arial" w:cs="Arial" w:eastAsia="Arial" w:hAnsi="Arial"/>
          <w:b/>
          <w:bCs/>
          <w:color w:val="1B365D"/>
          <w:sz w:val="28"/>
          <w:szCs w:val="28"/>
        </w:rPr>
        <w:t xml:space="preserve">3. Authorized project skeleton</w:t>
      </w:r>
    </w:p>
    <w:p>
      <w:pPr>
        <w:spacing w:after="120" w:before="0" w:line="276"/>
        <w:jc w:val="left"/>
      </w:pPr>
      <w:r>
        <w:rPr>
          <w:rFonts w:ascii="Arial" w:cs="Arial" w:eastAsia="Arial" w:hAnsi="Arial"/>
          <w:b w:val="false"/>
          <w:bCs w:val="false"/>
          <w:i w:val="false"/>
          <w:iCs w:val="false"/>
          <w:color w:val="222222"/>
          <w:sz w:val="20"/>
          <w:szCs w:val="20"/>
        </w:rPr>
        <w:t xml:space="preserve">Effective 1 October 2026, a Jacobs-assigned SPS project may carry only the functions below. Names are filled this week. Until a name is written, the seat does not bill.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3080"/>
      </w:tblGrid>
      <w:tr>
        <w:trPr>
          <w:tblHeader/>
        </w:trPr>
        <w:tc>
          <w:tcPr>
            <w:tcW w:type="dxa" w:w="18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Function</w:t>
            </w:r>
          </w:p>
        </w:tc>
        <w:tc>
          <w:tcPr>
            <w:tcW w:type="dxa" w:w="24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Rule</w:t>
            </w:r>
          </w:p>
        </w:tc>
        <w:tc>
          <w:tcPr>
            <w:tcW w:type="dxa" w:w="28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How it sits on four jobs</w:t>
            </w:r>
          </w:p>
        </w:tc>
        <w:tc>
          <w:tcPr>
            <w:tcW w:type="dxa" w:w="308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What it may bill</w:t>
            </w:r>
          </w:p>
        </w:tc>
      </w:tr>
      <w:tr>
        <w:trPr>
          <w:tblHeader w:val="off"/>
        </w:trPr>
        <w:tc>
          <w:tcPr>
            <w:tcW w:type="dxa" w:w="18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1 PM</w:t>
            </w:r>
          </w:p>
        </w:tc>
        <w:tc>
          <w:tcPr>
            <w:tcW w:type="dxa" w:w="24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One named project manager. Not two. Not a PM plus a deputy plus an engagement manager on the same job.</w:t>
            </w:r>
          </w:p>
        </w:tc>
        <w:tc>
          <w:tcPr>
            <w:tcW w:type="dxa" w:w="28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Prefer one PM covering the four-job portfolio if load allows. If split is required, still one PM name per job — never two.</w:t>
            </w:r>
          </w:p>
        </w:tc>
        <w:tc>
          <w:tcPr>
            <w:tcW w:type="dxa" w:w="30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Direction, contractor interface, gate decisions, written status. Not drawing production.</w:t>
            </w:r>
          </w:p>
        </w:tc>
      </w:tr>
      <w:tr>
        <w:trPr>
          <w:tblHeader w:val="off"/>
        </w:trPr>
        <w:tc>
          <w:tcPr>
            <w:tcW w:type="dxa" w:w="1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1 PMA</w:t>
            </w:r>
          </w:p>
        </w:tc>
        <w:tc>
          <w:tcPr>
            <w:tcW w:type="dxa" w:w="2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One project management assistant / coordinator. Closes comments, files, meeting notes, invoice package assembly.</w:t>
            </w:r>
          </w:p>
        </w:tc>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One PMA can cover four jobs if the meeting load is cut to the published huddle and per-job working session.</w:t>
            </w:r>
          </w:p>
        </w:tc>
        <w:tc>
          <w:tcPr>
            <w:tcW w:type="dxa" w:w="30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Admin that produces a dated artifact. Not standing meeting attendance.</w:t>
            </w:r>
          </w:p>
        </w:tc>
      </w:tr>
      <w:tr>
        <w:trPr>
          <w:tblHeader w:val="off"/>
        </w:trPr>
        <w:tc>
          <w:tcPr>
            <w:tcW w:type="dxa" w:w="18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Scheduler</w:t>
            </w:r>
          </w:p>
        </w:tc>
        <w:tc>
          <w:tcPr>
            <w:tcW w:type="dxa" w:w="24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One scheduler. Builds and maintains P6 against the owner template and Exhibit G WBS.</w:t>
            </w:r>
          </w:p>
        </w:tc>
        <w:tc>
          <w:tcPr>
            <w:tcW w:type="dxa" w:w="28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One scheduler across the four jobs until construction start density requires a split. Construction-phase split is a written decision, not a default.</w:t>
            </w:r>
          </w:p>
        </w:tc>
        <w:tc>
          <w:tcPr>
            <w:tcW w:type="dxa" w:w="30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Logic, constraints, CP-to-ISD flag, resource load after WBS is clean. Not status narratives.</w:t>
            </w:r>
          </w:p>
        </w:tc>
      </w:tr>
      <w:tr>
        <w:trPr>
          <w:tblHeader w:val="off"/>
        </w:trPr>
        <w:tc>
          <w:tcPr>
            <w:tcW w:type="dxa" w:w="1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Accounting</w:t>
            </w:r>
          </w:p>
        </w:tc>
        <w:tc>
          <w:tcPr>
            <w:tcW w:type="dxa" w:w="2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One cost / invoice controller. Does not design. Does not attend drawing reviews.</w:t>
            </w:r>
          </w:p>
        </w:tc>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Portfolio seat. Reviews every Jacobs invoice against WBS, WO, authorized roster, and timesheet backup.</w:t>
            </w:r>
          </w:p>
        </w:tc>
        <w:tc>
          <w:tcPr>
            <w:tcW w:type="dxa" w:w="30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Invoice audit, accrual, WO coding, reject / short-pay package. Not project management.</w:t>
            </w:r>
          </w:p>
        </w:tc>
      </w:tr>
      <w:tr>
        <w:trPr>
          <w:tblHeader w:val="off"/>
        </w:trPr>
        <w:tc>
          <w:tcPr>
            <w:tcW w:type="dxa" w:w="18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Owner’s engineering</w:t>
            </w:r>
          </w:p>
        </w:tc>
        <w:tc>
          <w:tcPr>
            <w:tcW w:type="dxa" w:w="24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Named discipline reviewers only. Physical and P&amp;C as required by the next gate. No unassigned “support” engineers.</w:t>
            </w:r>
          </w:p>
        </w:tc>
        <w:tc>
          <w:tcPr>
            <w:tcW w:type="dxa" w:w="28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Shared bench: Parrotta, Braunguard, Pink, Crowell on the Company side; Jacobs OE limited to the names on the weekly huddle roster plus a written surge list.</w:t>
            </w:r>
          </w:p>
        </w:tc>
        <w:tc>
          <w:tcPr>
            <w:tcW w:type="dxa" w:w="30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Review comments, calculations, studies Company directed (example: Hare 115 kV PLC). Not orientation, not duplicate markups, not meetings without an agenda item.</w:t>
            </w:r>
          </w:p>
        </w:tc>
      </w:tr>
    </w:tbl>
    <w:p>
      <w:pPr>
        <w:spacing w:after="80"/>
      </w:pPr>
    </w:p>
    <w:p>
      <w:pPr>
        <w:pStyle w:val="Heading2"/>
        <w:spacing w:after="100" w:before="220"/>
      </w:pPr>
      <w:r>
        <w:rPr>
          <w:rFonts w:ascii="Arial" w:cs="Arial" w:eastAsia="Arial" w:hAnsi="Arial"/>
          <w:b/>
          <w:bCs/>
          <w:color w:val="1B365D"/>
          <w:sz w:val="24"/>
          <w:szCs w:val="24"/>
        </w:rPr>
        <w:t xml:space="preserve">What is not on the project</w:t>
      </w:r>
    </w:p>
    <w:p>
      <w:pPr>
        <w:pStyle w:val="ListParagraph"/>
        <w:numPr>
          <w:ilvl w:val="0"/>
          <w:numId w:val="2"/>
        </w:numPr>
        <w:spacing w:after="60" w:line="260"/>
      </w:pPr>
      <w:r>
        <w:rPr>
          <w:rFonts w:ascii="Arial" w:cs="Arial" w:eastAsia="Arial" w:hAnsi="Arial"/>
          <w:color w:val="222222"/>
          <w:sz w:val="20"/>
          <w:szCs w:val="20"/>
        </w:rPr>
        <w:t xml:space="preserve">Second PM, engagement manager, client manager, or “oversight” lead charging the same WO.</w:t>
      </w:r>
    </w:p>
    <w:p>
      <w:pPr>
        <w:pStyle w:val="ListParagraph"/>
        <w:numPr>
          <w:ilvl w:val="0"/>
          <w:numId w:val="2"/>
        </w:numPr>
        <w:spacing w:after="60" w:line="260"/>
      </w:pPr>
      <w:r>
        <w:rPr>
          <w:rFonts w:ascii="Arial" w:cs="Arial" w:eastAsia="Arial" w:hAnsi="Arial"/>
          <w:color w:val="222222"/>
          <w:sz w:val="20"/>
          <w:szCs w:val="20"/>
        </w:rPr>
        <w:t xml:space="preserve">Discipline leads who are not reviewing a package this period.</w:t>
      </w:r>
    </w:p>
    <w:p>
      <w:pPr>
        <w:pStyle w:val="ListParagraph"/>
        <w:numPr>
          <w:ilvl w:val="0"/>
          <w:numId w:val="2"/>
        </w:numPr>
        <w:spacing w:after="60" w:line="260"/>
      </w:pPr>
      <w:r>
        <w:rPr>
          <w:rFonts w:ascii="Arial" w:cs="Arial" w:eastAsia="Arial" w:hAnsi="Arial"/>
          <w:color w:val="222222"/>
          <w:sz w:val="20"/>
          <w:szCs w:val="20"/>
        </w:rPr>
        <w:t xml:space="preserve">GIS, siting, environmental, communications, or studies unless Company issued a written task with a cap.</w:t>
      </w:r>
    </w:p>
    <w:p>
      <w:pPr>
        <w:pStyle w:val="ListParagraph"/>
        <w:numPr>
          <w:ilvl w:val="0"/>
          <w:numId w:val="2"/>
        </w:numPr>
        <w:spacing w:after="60" w:line="260"/>
      </w:pPr>
      <w:r>
        <w:rPr>
          <w:rFonts w:ascii="Arial" w:cs="Arial" w:eastAsia="Arial" w:hAnsi="Arial"/>
          <w:color w:val="222222"/>
          <w:sz w:val="20"/>
          <w:szCs w:val="20"/>
        </w:rPr>
        <w:t xml:space="preserve">Maya or Whiptail codes, names, or “closeout support” after 30 September 2026 except a single transition memo.</w:t>
      </w:r>
    </w:p>
    <w:p>
      <w:pPr>
        <w:pStyle w:val="ListParagraph"/>
        <w:numPr>
          <w:ilvl w:val="0"/>
          <w:numId w:val="2"/>
        </w:numPr>
        <w:spacing w:after="60" w:line="260"/>
      </w:pPr>
      <w:r>
        <w:rPr>
          <w:rFonts w:ascii="Arial" w:cs="Arial" w:eastAsia="Arial" w:hAnsi="Arial"/>
          <w:color w:val="222222"/>
          <w:sz w:val="20"/>
          <w:szCs w:val="20"/>
        </w:rPr>
        <w:t xml:space="preserve">Onboarding, badge chasing, or internal Jacobs coordination billed to SPS.</w:t>
      </w:r>
    </w:p>
    <w:p>
      <w:pPr>
        <w:pStyle w:val="ListParagraph"/>
        <w:numPr>
          <w:ilvl w:val="0"/>
          <w:numId w:val="2"/>
        </w:numPr>
        <w:spacing w:after="60" w:line="260"/>
      </w:pPr>
      <w:r>
        <w:rPr>
          <w:rFonts w:ascii="Arial" w:cs="Arial" w:eastAsia="Arial" w:hAnsi="Arial"/>
          <w:color w:val="222222"/>
          <w:sz w:val="20"/>
          <w:szCs w:val="20"/>
        </w:rPr>
        <w:t xml:space="preserve">Meeting hours for anyone who is not on the core roster or a named 10-minute guest block.</w:t>
      </w:r>
    </w:p>
    <w:p>
      <w:pPr>
        <w:spacing w:after="160" w:before="0" w:line="276"/>
        <w:jc w:val="left"/>
      </w:pPr>
      <w:r>
        <w:rPr>
          <w:rFonts w:ascii="Arial" w:cs="Arial" w:eastAsia="Arial" w:hAnsi="Arial"/>
          <w:b w:val="false"/>
          <w:bCs w:val="false"/>
          <w:i w:val="false"/>
          <w:iCs w:val="false"/>
          <w:color w:val="222222"/>
          <w:sz w:val="20"/>
          <w:szCs w:val="20"/>
        </w:rPr>
        <w:t xml:space="preserve">Surge exception. Company Project Lead may add a named person for a named deliverable. The add request states job, name, classification, weekly hour cap, start, finish, and the file that will exist when the surge ends. No cap, no bill. Silent extensions are a reject.</w:t>
      </w:r>
    </w:p>
    <w:p>
      <w:pPr>
        <w:pStyle w:val="Heading1"/>
        <w:pBdr>
          <w:bottom w:val="single" w:color="C4A35A" w:sz="12" w:space="1"/>
        </w:pBdr>
        <w:spacing w:after="140" w:before="280"/>
      </w:pPr>
      <w:r>
        <w:rPr>
          <w:rFonts w:ascii="Arial" w:cs="Arial" w:eastAsia="Arial" w:hAnsi="Arial"/>
          <w:b/>
          <w:bCs/>
          <w:color w:val="1B365D"/>
          <w:sz w:val="28"/>
          <w:szCs w:val="28"/>
        </w:rPr>
        <w:t xml:space="preserve">4. Immediate actions — this week</w:t>
      </w:r>
    </w:p>
    <w:p>
      <w:pPr>
        <w:spacing w:after="120" w:before="0" w:line="276"/>
        <w:jc w:val="left"/>
      </w:pPr>
      <w:r>
        <w:rPr>
          <w:rFonts w:ascii="Arial" w:cs="Arial" w:eastAsia="Arial" w:hAnsi="Arial"/>
          <w:b w:val="false"/>
          <w:bCs w:val="false"/>
          <w:i w:val="false"/>
          <w:iCs w:val="false"/>
          <w:color w:val="222222"/>
          <w:sz w:val="20"/>
          <w:szCs w:val="20"/>
        </w:rPr>
        <w:t xml:space="preserve">Clock starts 30 September 2026. These items do not wait on a new meeting series.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2200"/>
        <w:gridCol w:w="2880"/>
      </w:tblGrid>
      <w:tr>
        <w:trPr>
          <w:tblHeader/>
        </w:trPr>
        <w:tc>
          <w:tcPr>
            <w:tcW w:type="dxa" w:w="7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w:t>
            </w:r>
          </w:p>
        </w:tc>
        <w:tc>
          <w:tcPr>
            <w:tcW w:type="dxa" w:w="43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Action</w:t>
            </w:r>
          </w:p>
        </w:tc>
        <w:tc>
          <w:tcPr>
            <w:tcW w:type="dxa" w:w="22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Owner</w:t>
            </w:r>
          </w:p>
        </w:tc>
        <w:tc>
          <w:tcPr>
            <w:tcW w:type="dxa" w:w="288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Done when</w:t>
            </w:r>
          </w:p>
        </w:tc>
      </w:tr>
      <w:tr>
        <w:trPr>
          <w:tblHeader w:val="off"/>
        </w:trPr>
        <w:tc>
          <w:tcPr>
            <w:tcW w:type="dxa" w:w="700"/>
            <w:tcBorders>
              <w:top w:val="single" w:color="C5CDD6" w:sz="4"/>
              <w:left w:val="single" w:color="C5CDD6" w:sz="4"/>
              <w:bottom w:val="single" w:color="C5CDD6" w:sz="4"/>
              <w:right w:val="single" w:color="C5CDD6" w:sz="4"/>
            </w:tcBorders>
            <w:shd w:fill="F4E6C8"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1</w:t>
            </w:r>
          </w:p>
        </w:tc>
        <w:tc>
          <w:tcPr>
            <w:tcW w:type="dxa" w:w="4300"/>
            <w:tcBorders>
              <w:top w:val="single" w:color="C5CDD6" w:sz="4"/>
              <w:left w:val="single" w:color="C5CDD6" w:sz="4"/>
              <w:bottom w:val="single" w:color="C5CDD6" w:sz="4"/>
              <w:right w:val="single" w:color="C5CDD6" w:sz="4"/>
            </w:tcBorders>
            <w:shd w:fill="F4E6C8"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Issue written stop-bill to Jacobs: Maya and Whiptail. No hours after 30 Sep 2026. Deliver a file index and a last invoice cutoff.</w:t>
            </w:r>
          </w:p>
        </w:tc>
        <w:tc>
          <w:tcPr>
            <w:tcW w:type="dxa" w:w="2200"/>
            <w:tcBorders>
              <w:top w:val="single" w:color="C5CDD6" w:sz="4"/>
              <w:left w:val="single" w:color="C5CDD6" w:sz="4"/>
              <w:bottom w:val="single" w:color="C5CDD6" w:sz="4"/>
              <w:right w:val="single" w:color="C5CDD6" w:sz="4"/>
            </w:tcBorders>
            <w:shd w:fill="F4E6C8"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CPL + accounting</w:t>
            </w:r>
          </w:p>
        </w:tc>
        <w:tc>
          <w:tcPr>
            <w:tcW w:type="dxa" w:w="2880"/>
            <w:tcBorders>
              <w:top w:val="single" w:color="C5CDD6" w:sz="4"/>
              <w:left w:val="single" w:color="C5CDD6" w:sz="4"/>
              <w:bottom w:val="single" w:color="C5CDD6" w:sz="4"/>
              <w:right w:val="single" w:color="C5CDD6" w:sz="4"/>
            </w:tcBorders>
            <w:shd w:fill="F4E6C8"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Jacobs written acknowledgement in the project folder same week.</w:t>
            </w:r>
          </w:p>
        </w:tc>
      </w:tr>
      <w:tr>
        <w:trPr>
          <w:tblHeader w:val="off"/>
        </w:trPr>
        <w:tc>
          <w:tcPr>
            <w:tcW w:type="dxa" w:w="7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2</w:t>
            </w:r>
          </w:p>
        </w:tc>
        <w:tc>
          <w:tcPr>
            <w:tcW w:type="dxa" w:w="43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Issue written authorized-roster letter for Hare, Tonto, Ranger, Windmill. Attach the skeleton in Section 3. Require named incumbents by 3 Oct 2026.</w:t>
            </w:r>
          </w:p>
        </w:tc>
        <w:tc>
          <w:tcPr>
            <w:tcW w:type="dxa" w:w="22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CPL</w:t>
            </w:r>
          </w:p>
        </w:tc>
        <w:tc>
          <w:tcPr>
            <w:tcW w:type="dxa" w:w="28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One letter, four job headers, names filled or seats shown vacant (vacant = $0).</w:t>
            </w:r>
          </w:p>
        </w:tc>
      </w:tr>
      <w:tr>
        <w:trPr>
          <w:tblHeader w:val="off"/>
        </w:trPr>
        <w:tc>
          <w:tcPr>
            <w:tcW w:type="dxa" w:w="7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3</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Jacobs produces a current roster: every person who charged any of the six jobs in Jul–Sep 2026, by WO / WBS / hours / classification.</w:t>
            </w:r>
          </w:p>
        </w:tc>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Jacobs PM, due 3 Oct</w:t>
            </w:r>
          </w:p>
        </w:tc>
        <w:tc>
          <w:tcPr>
            <w:tcW w:type="dxa" w:w="28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Spreadsheet in Company folder. Missing names are treated as unauthorized.</w:t>
            </w:r>
          </w:p>
        </w:tc>
      </w:tr>
      <w:tr>
        <w:trPr>
          <w:tblHeader w:val="off"/>
        </w:trPr>
        <w:tc>
          <w:tcPr>
            <w:tcW w:type="dxa" w:w="7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4</w:t>
            </w:r>
          </w:p>
        </w:tc>
        <w:tc>
          <w:tcPr>
            <w:tcW w:type="dxa" w:w="43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Accounting holds every open Jacobs invoice that is not already approved. No payment on a held invoice until the roster test in Section 6 passes.</w:t>
            </w:r>
          </w:p>
        </w:tc>
        <w:tc>
          <w:tcPr>
            <w:tcW w:type="dxa" w:w="22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Accounting</w:t>
            </w:r>
          </w:p>
        </w:tc>
        <w:tc>
          <w:tcPr>
            <w:tcW w:type="dxa" w:w="28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Hold log dated 1 Oct. Vendor notified.</w:t>
            </w:r>
          </w:p>
        </w:tc>
      </w:tr>
      <w:tr>
        <w:trPr>
          <w:tblHeader w:val="off"/>
        </w:trPr>
        <w:tc>
          <w:tcPr>
            <w:tcW w:type="dxa" w:w="7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5</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Build the four-job charge map: legal project / WO / WBS to authorized function. Kill A.0002429 vs A.0002439 style typos in the dictionary before the next invoice cycle.</w:t>
            </w:r>
          </w:p>
        </w:tc>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PMA + scheduler + accounting</w:t>
            </w:r>
          </w:p>
        </w:tc>
        <w:tc>
          <w:tcPr>
            <w:tcW w:type="dxa" w:w="28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One-page charge map per job.</w:t>
            </w:r>
          </w:p>
        </w:tc>
      </w:tr>
      <w:tr>
        <w:trPr>
          <w:tblHeader w:val="off"/>
        </w:trPr>
        <w:tc>
          <w:tcPr>
            <w:tcW w:type="dxa" w:w="7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6</w:t>
            </w:r>
          </w:p>
        </w:tc>
        <w:tc>
          <w:tcPr>
            <w:tcW w:type="dxa" w:w="43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Cancel Jacobs standing meetings that are not the Tuesday engineering huddle or the per-job working session. Remove extra Jacobs names from those invites.</w:t>
            </w:r>
          </w:p>
        </w:tc>
        <w:tc>
          <w:tcPr>
            <w:tcW w:type="dxa" w:w="22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PM + PMA</w:t>
            </w:r>
          </w:p>
        </w:tc>
        <w:tc>
          <w:tcPr>
            <w:tcW w:type="dxa" w:w="28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Calendar proof. Old series deleted, not declined.</w:t>
            </w:r>
          </w:p>
        </w:tc>
      </w:tr>
      <w:tr>
        <w:trPr>
          <w:tblHeader w:val="off"/>
        </w:trPr>
        <w:tc>
          <w:tcPr>
            <w:tcW w:type="dxa" w:w="7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7</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Confirm Company OE bench hours against the Nov–Dec 30 percent cluster. Do not buy Jacobs surge to cover a bench we already have.</w:t>
            </w:r>
          </w:p>
        </w:tc>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CPL + Parrotta</w:t>
            </w:r>
          </w:p>
        </w:tc>
        <w:tc>
          <w:tcPr>
            <w:tcW w:type="dxa" w:w="28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Hour sheet: Hare 6 Nov, Ranger 30%, Windmill 30%, Tonto 60%.</w:t>
            </w:r>
          </w:p>
        </w:tc>
      </w:tr>
    </w:tbl>
    <w:p>
      <w:pPr>
        <w:spacing w:after="80"/>
      </w:pPr>
    </w:p>
    <w:p>
      <w:pPr>
        <w:pStyle w:val="Heading1"/>
        <w:pBdr>
          <w:bottom w:val="single" w:color="C4A35A" w:sz="12" w:space="1"/>
        </w:pBdr>
        <w:spacing w:after="140" w:before="280"/>
      </w:pPr>
      <w:r>
        <w:rPr>
          <w:rFonts w:ascii="Arial" w:cs="Arial" w:eastAsia="Arial" w:hAnsi="Arial"/>
          <w:b/>
          <w:bCs/>
          <w:color w:val="1B365D"/>
          <w:sz w:val="28"/>
          <w:szCs w:val="28"/>
        </w:rPr>
        <w:t xml:space="preserve">5. Correction plan by job</w:t>
      </w:r>
    </w:p>
    <w:p>
      <w:pPr>
        <w:spacing w:after="120" w:before="0" w:line="276"/>
        <w:jc w:val="left"/>
      </w:pPr>
      <w:r>
        <w:rPr>
          <w:rFonts w:ascii="Arial" w:cs="Arial" w:eastAsia="Arial" w:hAnsi="Arial"/>
          <w:b w:val="false"/>
          <w:bCs w:val="false"/>
          <w:i w:val="false"/>
          <w:iCs w:val="false"/>
          <w:color w:val="222222"/>
          <w:sz w:val="20"/>
          <w:szCs w:val="20"/>
        </w:rPr>
        <w:t xml:space="preserve">Same test on all four. Different facts.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880"/>
        <w:gridCol w:w="2880"/>
      </w:tblGrid>
      <w:tr>
        <w:trPr>
          <w:tblHeader/>
        </w:trPr>
        <w:tc>
          <w:tcPr>
            <w:tcW w:type="dxa" w:w="18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Job</w:t>
            </w:r>
          </w:p>
        </w:tc>
        <w:tc>
          <w:tcPr>
            <w:tcW w:type="dxa" w:w="252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Stage</w:t>
            </w:r>
          </w:p>
        </w:tc>
        <w:tc>
          <w:tcPr>
            <w:tcW w:type="dxa" w:w="288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Correction this month</w:t>
            </w:r>
          </w:p>
        </w:tc>
        <w:tc>
          <w:tcPr>
            <w:tcW w:type="dxa" w:w="288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Billing rule</w:t>
            </w:r>
          </w:p>
        </w:tc>
      </w:tr>
      <w:tr>
        <w:trPr>
          <w:tblHeader w:val="off"/>
        </w:trPr>
        <w:tc>
          <w:tcPr>
            <w:tcW w:type="dxa" w:w="18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Hare</w:t>
            </w:r>
          </w:p>
        </w:tc>
        <w:tc>
          <w:tcPr>
            <w:tcW w:type="dxa" w:w="252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40"/>
              <w:jc w:val="left"/>
            </w:pPr>
            <w:r>
              <w:rPr>
                <w:rFonts w:ascii="Arial" w:cs="Arial" w:eastAsia="Arial" w:hAnsi="Arial"/>
                <w:i w:val="false"/>
                <w:iCs w:val="false"/>
                <w:color w:val="222222"/>
                <w:sz w:val="17"/>
                <w:szCs w:val="17"/>
              </w:rPr>
              <w:t xml:space="preserve">30% page turn 6 Nov 2026</w:t>
            </w:r>
          </w:p>
          <w:p>
            <w:pPr>
              <w:spacing w:after="40"/>
              <w:jc w:val="left"/>
            </w:pPr>
            <w:r>
              <w:rPr>
                <w:rFonts w:ascii="Arial" w:cs="Arial" w:eastAsia="Arial" w:hAnsi="Arial"/>
                <w:i w:val="false"/>
                <w:iCs w:val="false"/>
                <w:color w:val="222222"/>
                <w:sz w:val="17"/>
                <w:szCs w:val="17"/>
              </w:rPr>
              <w:t xml:space="preserve">ISD 15 Dec 2028</w:t>
            </w:r>
          </w:p>
          <w:p>
            <w:pPr>
              <w:spacing w:after="0"/>
              <w:jc w:val="left"/>
            </w:pPr>
            <w:r>
              <w:rPr>
                <w:rFonts w:ascii="Arial" w:cs="Arial" w:eastAsia="Arial" w:hAnsi="Arial"/>
                <w:i w:val="false"/>
                <w:iCs w:val="false"/>
                <w:color w:val="222222"/>
                <w:sz w:val="17"/>
                <w:szCs w:val="17"/>
              </w:rPr>
              <w:t xml:space="preserve">PSOW 12817 / AMD 01–02</w:t>
            </w:r>
          </w:p>
        </w:tc>
        <w:tc>
          <w:tcPr>
            <w:tcW w:type="dxa" w:w="28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40"/>
              <w:jc w:val="left"/>
            </w:pPr>
            <w:r>
              <w:rPr>
                <w:rFonts w:ascii="Arial" w:cs="Arial" w:eastAsia="Arial" w:hAnsi="Arial"/>
                <w:i w:val="false"/>
                <w:iCs w:val="false"/>
                <w:color w:val="222222"/>
                <w:sz w:val="17"/>
                <w:szCs w:val="17"/>
              </w:rPr>
              <w:t xml:space="preserve">Lock authorized roster to the live WBS: DCP .001, Comms .002, Hendricks .005, TAM .006, TIF .008.</w:t>
            </w:r>
          </w:p>
          <w:p>
            <w:pPr>
              <w:spacing w:after="40"/>
              <w:jc w:val="left"/>
            </w:pPr>
            <w:r>
              <w:rPr>
                <w:rFonts w:ascii="Arial" w:cs="Arial" w:eastAsia="Arial" w:hAnsi="Arial"/>
                <w:i w:val="false"/>
                <w:iCs w:val="false"/>
                <w:color w:val="222222"/>
                <w:sz w:val="17"/>
                <w:szCs w:val="17"/>
              </w:rPr>
              <w:t xml:space="preserve">No charge to Hendricks retirement until after ISD and a written start.</w:t>
            </w:r>
          </w:p>
          <w:p>
            <w:pPr>
              <w:spacing w:after="0"/>
              <w:jc w:val="left"/>
            </w:pPr>
            <w:r>
              <w:rPr>
                <w:rFonts w:ascii="Arial" w:cs="Arial" w:eastAsia="Arial" w:hAnsi="Arial"/>
                <w:i w:val="false"/>
                <w:iCs w:val="false"/>
                <w:color w:val="222222"/>
                <w:sz w:val="17"/>
                <w:szCs w:val="17"/>
              </w:rPr>
              <w:t xml:space="preserve">PLC study and fiber RFI stay with Company Comms direction — not an open Jacobs time code.</w:t>
            </w:r>
          </w:p>
        </w:tc>
        <w:tc>
          <w:tcPr>
            <w:tcW w:type="dxa" w:w="28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Invoice must cite the WBS that matches the work. Package review hours capped to the 80-hour 30% budget unless CPL raises it in writing.</w:t>
            </w:r>
          </w:p>
        </w:tc>
      </w:tr>
      <w:tr>
        <w:trPr>
          <w:tblHeader w:val="off"/>
        </w:trPr>
        <w:tc>
          <w:tcPr>
            <w:tcW w:type="dxa" w:w="1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Tonto</w:t>
            </w:r>
          </w:p>
        </w:tc>
        <w:tc>
          <w:tcPr>
            <w:tcW w:type="dxa" w:w="25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40"/>
              <w:jc w:val="left"/>
            </w:pPr>
            <w:r>
              <w:rPr>
                <w:rFonts w:ascii="Arial" w:cs="Arial" w:eastAsia="Arial" w:hAnsi="Arial"/>
                <w:i w:val="false"/>
                <w:iCs w:val="false"/>
                <w:color w:val="222222"/>
                <w:sz w:val="17"/>
                <w:szCs w:val="17"/>
              </w:rPr>
              <w:t xml:space="preserve">Past 30%</w:t>
            </w:r>
          </w:p>
          <w:p>
            <w:pPr>
              <w:spacing w:after="0"/>
              <w:jc w:val="left"/>
            </w:pPr>
            <w:r>
              <w:rPr>
                <w:rFonts w:ascii="Arial" w:cs="Arial" w:eastAsia="Arial" w:hAnsi="Arial"/>
                <w:i w:val="false"/>
                <w:iCs w:val="false"/>
                <w:color w:val="222222"/>
                <w:sz w:val="17"/>
                <w:szCs w:val="17"/>
              </w:rPr>
              <w:t xml:space="preserve">60% talked ~2 months early</w:t>
            </w:r>
          </w:p>
        </w:tc>
        <w:tc>
          <w:tcPr>
            <w:tcW w:type="dxa" w:w="28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40"/>
              <w:jc w:val="left"/>
            </w:pPr>
            <w:r>
              <w:rPr>
                <w:rFonts w:ascii="Arial" w:cs="Arial" w:eastAsia="Arial" w:hAnsi="Arial"/>
                <w:i w:val="false"/>
                <w:iCs w:val="false"/>
                <w:color w:val="222222"/>
                <w:sz w:val="17"/>
                <w:szCs w:val="17"/>
              </w:rPr>
              <w:t xml:space="preserve">Do not staff early 60% by adding Jacobs PM/PMA.</w:t>
            </w:r>
          </w:p>
          <w:p>
            <w:pPr>
              <w:spacing w:after="0"/>
              <w:jc w:val="left"/>
            </w:pPr>
            <w:r>
              <w:rPr>
                <w:rFonts w:ascii="Arial" w:cs="Arial" w:eastAsia="Arial" w:hAnsi="Arial"/>
                <w:i w:val="false"/>
                <w:iCs w:val="false"/>
                <w:color w:val="222222"/>
                <w:sz w:val="17"/>
                <w:szCs w:val="17"/>
              </w:rPr>
              <w:t xml:space="preserve">If 60% stays early, extra hours come from the owner review bench or a dated surge list — not a standing second crew.</w:t>
            </w:r>
          </w:p>
        </w:tc>
        <w:tc>
          <w:tcPr>
            <w:tcW w:type="dxa" w:w="28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60% review hours are a separate cap. They do not leak onto Hare, Ranger, or Windmill WOs.</w:t>
            </w:r>
          </w:p>
        </w:tc>
      </w:tr>
      <w:tr>
        <w:trPr>
          <w:tblHeader w:val="off"/>
        </w:trPr>
        <w:tc>
          <w:tcPr>
            <w:tcW w:type="dxa" w:w="18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Ranger</w:t>
            </w:r>
          </w:p>
        </w:tc>
        <w:tc>
          <w:tcPr>
            <w:tcW w:type="dxa" w:w="252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30% in Oct–Dec 2026 window</w:t>
            </w:r>
          </w:p>
        </w:tc>
        <w:tc>
          <w:tcPr>
            <w:tcW w:type="dxa" w:w="28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40"/>
              <w:jc w:val="left"/>
            </w:pPr>
            <w:r>
              <w:rPr>
                <w:rFonts w:ascii="Arial" w:cs="Arial" w:eastAsia="Arial" w:hAnsi="Arial"/>
                <w:i w:val="false"/>
                <w:iCs w:val="false"/>
                <w:color w:val="222222"/>
                <w:sz w:val="17"/>
                <w:szCs w:val="17"/>
              </w:rPr>
              <w:t xml:space="preserve">Produce the missing one-pager: governing ISD, company equipment, WBS list, land status, AMD commercial.</w:t>
            </w:r>
          </w:p>
          <w:p>
            <w:pPr>
              <w:spacing w:after="0"/>
              <w:jc w:val="left"/>
            </w:pPr>
            <w:r>
              <w:rPr>
                <w:rFonts w:ascii="Arial" w:cs="Arial" w:eastAsia="Arial" w:hAnsi="Arial"/>
                <w:i w:val="false"/>
                <w:iCs w:val="false"/>
                <w:color w:val="222222"/>
                <w:sz w:val="17"/>
                <w:szCs w:val="17"/>
              </w:rPr>
              <w:t xml:space="preserve">No invoice approved until that one-pager exists. We will not pay for work we cannot place on a WBS.</w:t>
            </w:r>
          </w:p>
        </w:tc>
        <w:tc>
          <w:tcPr>
            <w:tcW w:type="dxa" w:w="28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Same 80-hour 30% review budget as Hare until a written change.</w:t>
            </w:r>
          </w:p>
        </w:tc>
      </w:tr>
      <w:tr>
        <w:trPr>
          <w:tblHeader w:val="off"/>
        </w:trPr>
        <w:tc>
          <w:tcPr>
            <w:tcW w:type="dxa" w:w="1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Windmill</w:t>
            </w:r>
          </w:p>
        </w:tc>
        <w:tc>
          <w:tcPr>
            <w:tcW w:type="dxa" w:w="25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30% in Oct–Dec 2026 window</w:t>
            </w:r>
          </w:p>
        </w:tc>
        <w:tc>
          <w:tcPr>
            <w:tcW w:type="dxa" w:w="28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40"/>
              <w:jc w:val="left"/>
            </w:pPr>
            <w:r>
              <w:rPr>
                <w:rFonts w:ascii="Arial" w:cs="Arial" w:eastAsia="Arial" w:hAnsi="Arial"/>
                <w:i w:val="false"/>
                <w:iCs w:val="false"/>
                <w:color w:val="222222"/>
                <w:sz w:val="17"/>
                <w:szCs w:val="17"/>
              </w:rPr>
              <w:t xml:space="preserve">Same one-pager as Ranger.</w:t>
            </w:r>
          </w:p>
          <w:p>
            <w:pPr>
              <w:spacing w:after="0"/>
              <w:jc w:val="left"/>
            </w:pPr>
            <w:r>
              <w:rPr>
                <w:rFonts w:ascii="Arial" w:cs="Arial" w:eastAsia="Arial" w:hAnsi="Arial"/>
                <w:i w:val="false"/>
                <w:iCs w:val="false"/>
                <w:color w:val="222222"/>
                <w:sz w:val="17"/>
                <w:szCs w:val="17"/>
              </w:rPr>
              <w:t xml:space="preserve">Keep the name distinct from Whiptail on every timesheet, file, and invoice line. Any Windmill line that looks like Whiptail is a reject.</w:t>
            </w:r>
          </w:p>
        </w:tc>
        <w:tc>
          <w:tcPr>
            <w:tcW w:type="dxa" w:w="28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Same 80-hour 30% cap. Zero dollars to Whiptail codes.</w:t>
            </w:r>
          </w:p>
        </w:tc>
      </w:tr>
    </w:tbl>
    <w:p>
      <w:pPr>
        <w:spacing w:after="80"/>
      </w:pPr>
    </w:p>
    <w:p>
      <w:pPr>
        <w:pStyle w:val="Heading2"/>
        <w:spacing w:after="100" w:before="220"/>
      </w:pPr>
      <w:r>
        <w:rPr>
          <w:rFonts w:ascii="Arial" w:cs="Arial" w:eastAsia="Arial" w:hAnsi="Arial"/>
          <w:b/>
          <w:bCs/>
          <w:color w:val="1B365D"/>
          <w:sz w:val="24"/>
          <w:szCs w:val="24"/>
        </w:rPr>
        <w:t xml:space="preserve">Maya and Whiptail — closed for billing</w:t>
      </w:r>
    </w:p>
    <w:p>
      <w:pPr>
        <w:pStyle w:val="ListParagraph"/>
        <w:numPr>
          <w:ilvl w:val="0"/>
          <w:numId w:val="2"/>
        </w:numPr>
        <w:spacing w:after="60" w:line="260"/>
      </w:pPr>
      <w:r>
        <w:rPr>
          <w:rFonts w:ascii="Arial" w:cs="Arial" w:eastAsia="Arial" w:hAnsi="Arial"/>
          <w:color w:val="222222"/>
          <w:sz w:val="20"/>
          <w:szCs w:val="20"/>
        </w:rPr>
        <w:t xml:space="preserve">Stop-bill date: 30 September 2026.</w:t>
      </w:r>
    </w:p>
    <w:p>
      <w:pPr>
        <w:pStyle w:val="ListParagraph"/>
        <w:numPr>
          <w:ilvl w:val="0"/>
          <w:numId w:val="2"/>
        </w:numPr>
        <w:spacing w:after="60" w:line="260"/>
      </w:pPr>
      <w:r>
        <w:rPr>
          <w:rFonts w:ascii="Arial" w:cs="Arial" w:eastAsia="Arial" w:hAnsi="Arial"/>
          <w:color w:val="222222"/>
          <w:sz w:val="20"/>
          <w:szCs w:val="20"/>
        </w:rPr>
        <w:t xml:space="preserve">Allowed after that date: one transition memo, file index, and final invoice for hours incurred on or before the stop-bill date.</w:t>
      </w:r>
    </w:p>
    <w:p>
      <w:pPr>
        <w:pStyle w:val="ListParagraph"/>
        <w:numPr>
          <w:ilvl w:val="0"/>
          <w:numId w:val="2"/>
        </w:numPr>
        <w:spacing w:after="60" w:line="260"/>
      </w:pPr>
      <w:r>
        <w:rPr>
          <w:rFonts w:ascii="Arial" w:cs="Arial" w:eastAsia="Arial" w:hAnsi="Arial"/>
          <w:color w:val="222222"/>
          <w:sz w:val="20"/>
          <w:szCs w:val="20"/>
        </w:rPr>
        <w:t xml:space="preserve">Not allowed: “knowledge transfer,” “restart planning,” “archive hygiene,” or internal coordination.</w:t>
      </w:r>
    </w:p>
    <w:p>
      <w:pPr>
        <w:pStyle w:val="ListParagraph"/>
        <w:numPr>
          <w:ilvl w:val="0"/>
          <w:numId w:val="2"/>
        </w:numPr>
        <w:spacing w:after="60" w:line="260"/>
      </w:pPr>
      <w:r>
        <w:rPr>
          <w:rFonts w:ascii="Arial" w:cs="Arial" w:eastAsia="Arial" w:hAnsi="Arial"/>
          <w:color w:val="222222"/>
          <w:sz w:val="20"/>
          <w:szCs w:val="20"/>
        </w:rPr>
        <w:t xml:space="preserve">Restart only through a written gate in 2028 per the 23 September plan. A restart is a new authorized roster, not the old one coming back on.</w:t>
      </w:r>
    </w:p>
    <w:p>
      <w:pPr>
        <w:pStyle w:val="ListParagraph"/>
        <w:numPr>
          <w:ilvl w:val="0"/>
          <w:numId w:val="2"/>
        </w:numPr>
        <w:spacing w:after="60" w:line="260"/>
      </w:pPr>
      <w:r>
        <w:rPr>
          <w:rFonts w:ascii="Arial" w:cs="Arial" w:eastAsia="Arial" w:hAnsi="Arial"/>
          <w:color w:val="222222"/>
          <w:sz w:val="20"/>
          <w:szCs w:val="20"/>
        </w:rPr>
        <w:t xml:space="preserve">Accounting flags any Maya / Whiptail charge on an October invoice as automatic reject.</w:t>
      </w:r>
    </w:p>
    <w:p>
      <w:pPr>
        <w:pStyle w:val="Heading1"/>
        <w:pBdr>
          <w:bottom w:val="single" w:color="C4A35A" w:sz="12" w:space="1"/>
        </w:pBdr>
        <w:spacing w:after="140" w:before="280"/>
      </w:pPr>
      <w:r>
        <w:rPr>
          <w:rFonts w:ascii="Arial" w:cs="Arial" w:eastAsia="Arial" w:hAnsi="Arial"/>
          <w:b/>
          <w:bCs/>
          <w:color w:val="1B365D"/>
          <w:sz w:val="28"/>
          <w:szCs w:val="28"/>
        </w:rPr>
        <w:t xml:space="preserve">6. Invoice test — what gets paid</w:t>
      </w:r>
    </w:p>
    <w:p>
      <w:pPr>
        <w:spacing w:after="120" w:before="0" w:line="276"/>
        <w:jc w:val="left"/>
      </w:pPr>
      <w:r>
        <w:rPr>
          <w:rFonts w:ascii="Arial" w:cs="Arial" w:eastAsia="Arial" w:hAnsi="Arial"/>
          <w:b w:val="false"/>
          <w:bCs w:val="false"/>
          <w:i w:val="false"/>
          <w:iCs w:val="false"/>
          <w:color w:val="222222"/>
          <w:sz w:val="20"/>
          <w:szCs w:val="20"/>
        </w:rPr>
        <w:t xml:space="preserve">Accounting runs this test on every Jacobs invoice from October 2026 forward. Fail any line and that line is short-paid. Fail the roster and the invoice is held.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4680"/>
      </w:tblGrid>
      <w:tr>
        <w:trPr>
          <w:tblHeader/>
        </w:trPr>
        <w:tc>
          <w:tcPr>
            <w:tcW w:type="dxa" w:w="72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w:t>
            </w:r>
          </w:p>
        </w:tc>
        <w:tc>
          <w:tcPr>
            <w:tcW w:type="dxa" w:w="468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Test</w:t>
            </w:r>
          </w:p>
        </w:tc>
        <w:tc>
          <w:tcPr>
            <w:tcW w:type="dxa" w:w="468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Fail action</w:t>
            </w:r>
          </w:p>
        </w:tc>
      </w:tr>
      <w:tr>
        <w:trPr>
          <w:tblHeader w:val="off"/>
        </w:trPr>
        <w:tc>
          <w:tcPr>
            <w:tcW w:type="dxa" w:w="72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1</w:t>
            </w:r>
          </w:p>
        </w:tc>
        <w:tc>
          <w:tcPr>
            <w:tcW w:type="dxa" w:w="46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Job is one of Hare, Tonto, Ranger, Windmill.</w:t>
            </w:r>
          </w:p>
        </w:tc>
        <w:tc>
          <w:tcPr>
            <w:tcW w:type="dxa" w:w="46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Reject the line. Maya / Whiptail after 30 Sep is reject.</w:t>
            </w:r>
          </w:p>
        </w:tc>
      </w:tr>
      <w:tr>
        <w:trPr>
          <w:tblHeader w:val="off"/>
        </w:trPr>
        <w:tc>
          <w:tcPr>
            <w:tcW w:type="dxa" w:w="7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2</w:t>
            </w:r>
          </w:p>
        </w:tc>
        <w:tc>
          <w:tcPr>
            <w:tcW w:type="dxa" w:w="46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Person is on the authorized roster or a current surge list.</w:t>
            </w:r>
          </w:p>
        </w:tc>
        <w:tc>
          <w:tcPr>
            <w:tcW w:type="dxa" w:w="46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Reject the line. Do not move the hours to another name.</w:t>
            </w:r>
          </w:p>
        </w:tc>
      </w:tr>
      <w:tr>
        <w:trPr>
          <w:tblHeader w:val="off"/>
        </w:trPr>
        <w:tc>
          <w:tcPr>
            <w:tcW w:type="dxa" w:w="72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3</w:t>
            </w:r>
          </w:p>
        </w:tc>
        <w:tc>
          <w:tcPr>
            <w:tcW w:type="dxa" w:w="46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Classification matches the seat (PM hours are PM work, not design).</w:t>
            </w:r>
          </w:p>
        </w:tc>
        <w:tc>
          <w:tcPr>
            <w:tcW w:type="dxa" w:w="46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Reclass or reject.</w:t>
            </w:r>
          </w:p>
        </w:tc>
      </w:tr>
      <w:tr>
        <w:trPr>
          <w:tblHeader w:val="off"/>
        </w:trPr>
        <w:tc>
          <w:tcPr>
            <w:tcW w:type="dxa" w:w="7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4</w:t>
            </w:r>
          </w:p>
        </w:tc>
        <w:tc>
          <w:tcPr>
            <w:tcW w:type="dxa" w:w="46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Hours coded to a live WO and a valid Exhibit G WBS.</w:t>
            </w:r>
          </w:p>
        </w:tc>
        <w:tc>
          <w:tcPr>
            <w:tcW w:type="dxa" w:w="46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Reject. Accounting does not guess the code.</w:t>
            </w:r>
          </w:p>
        </w:tc>
      </w:tr>
      <w:tr>
        <w:trPr>
          <w:tblHeader w:val="off"/>
        </w:trPr>
        <w:tc>
          <w:tcPr>
            <w:tcW w:type="dxa" w:w="72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5</w:t>
            </w:r>
          </w:p>
        </w:tc>
        <w:tc>
          <w:tcPr>
            <w:tcW w:type="dxa" w:w="46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Backup exists: timesheet date, hours, one-line description of the artifact produced.</w:t>
            </w:r>
          </w:p>
        </w:tc>
        <w:tc>
          <w:tcPr>
            <w:tcW w:type="dxa" w:w="46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Hold the line pending backup. After five business days, reject.</w:t>
            </w:r>
          </w:p>
        </w:tc>
      </w:tr>
      <w:tr>
        <w:trPr>
          <w:tblHeader w:val="off"/>
        </w:trPr>
        <w:tc>
          <w:tcPr>
            <w:tcW w:type="dxa" w:w="7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6</w:t>
            </w:r>
          </w:p>
        </w:tc>
        <w:tc>
          <w:tcPr>
            <w:tcW w:type="dxa" w:w="46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Period hours for that person on that job are at or under the weekly cap on the roster.</w:t>
            </w:r>
          </w:p>
        </w:tc>
        <w:tc>
          <w:tcPr>
            <w:tcW w:type="dxa" w:w="46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Short-pay the overage.</w:t>
            </w:r>
          </w:p>
        </w:tc>
      </w:tr>
      <w:tr>
        <w:trPr>
          <w:tblHeader w:val="off"/>
        </w:trPr>
        <w:tc>
          <w:tcPr>
            <w:tcW w:type="dxa" w:w="72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7</w:t>
            </w:r>
          </w:p>
        </w:tc>
        <w:tc>
          <w:tcPr>
            <w:tcW w:type="dxa" w:w="46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Meeting hours only if the person was on the published agenda.</w:t>
            </w:r>
          </w:p>
        </w:tc>
        <w:tc>
          <w:tcPr>
            <w:tcW w:type="dxa" w:w="46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Reject meeting-only time for guests and extra PMs.</w:t>
            </w:r>
          </w:p>
        </w:tc>
      </w:tr>
      <w:tr>
        <w:trPr>
          <w:tblHeader w:val="off"/>
        </w:trPr>
        <w:tc>
          <w:tcPr>
            <w:tcW w:type="dxa" w:w="72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8</w:t>
            </w:r>
          </w:p>
        </w:tc>
        <w:tc>
          <w:tcPr>
            <w:tcW w:type="dxa" w:w="46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No onboarding, travel without a trip approval, or internal Jacobs coordination.</w:t>
            </w:r>
          </w:p>
        </w:tc>
        <w:tc>
          <w:tcPr>
            <w:tcW w:type="dxa" w:w="46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Reject.</w:t>
            </w:r>
          </w:p>
        </w:tc>
      </w:tr>
    </w:tbl>
    <w:p>
      <w:pPr>
        <w:spacing w:after="80"/>
      </w:pPr>
    </w:p>
    <w:p>
      <w:pPr>
        <w:spacing w:after="160" w:before="0" w:line="276"/>
        <w:jc w:val="left"/>
      </w:pPr>
      <w:r>
        <w:rPr>
          <w:rFonts w:ascii="Arial" w:cs="Arial" w:eastAsia="Arial" w:hAnsi="Arial"/>
          <w:b w:val="false"/>
          <w:bCs w:val="false"/>
          <w:i w:val="false"/>
          <w:iCs w:val="false"/>
          <w:color w:val="222222"/>
          <w:sz w:val="20"/>
          <w:szCs w:val="20"/>
        </w:rPr>
        <w:t xml:space="preserve">October invoices covering September work are grandfathered only for hours incurred on or before 30 September, and only if they pass tests 1, 4, and 5. They do not get a free pass on Maya / Whiptail. September Maya / Whiptail hours must still show they were incurred before the stop-bill and that work actually happened.</w:t>
      </w:r>
    </w:p>
    <w:p>
      <w:pPr>
        <w:pStyle w:val="Heading1"/>
        <w:pBdr>
          <w:bottom w:val="single" w:color="C4A35A" w:sz="12" w:space="1"/>
        </w:pBdr>
        <w:spacing w:after="140" w:before="280"/>
      </w:pPr>
      <w:r>
        <w:rPr>
          <w:rFonts w:ascii="Arial" w:cs="Arial" w:eastAsia="Arial" w:hAnsi="Arial"/>
          <w:b/>
          <w:bCs/>
          <w:color w:val="1B365D"/>
          <w:sz w:val="28"/>
          <w:szCs w:val="28"/>
        </w:rPr>
        <w:t xml:space="preserve">7. Look-back — correct what already billed</w:t>
      </w:r>
    </w:p>
    <w:p>
      <w:pPr>
        <w:spacing w:after="120" w:before="0" w:line="276"/>
        <w:jc w:val="left"/>
      </w:pPr>
      <w:r>
        <w:rPr>
          <w:rFonts w:ascii="Arial" w:cs="Arial" w:eastAsia="Arial" w:hAnsi="Arial"/>
          <w:b w:val="false"/>
          <w:bCs w:val="false"/>
          <w:i w:val="false"/>
          <w:iCs w:val="false"/>
          <w:color w:val="222222"/>
          <w:sz w:val="20"/>
          <w:szCs w:val="20"/>
        </w:rPr>
        <w:t xml:space="preserve">Scaling down future hours is not enough if the last two quarters are unclean.</w:t>
      </w:r>
    </w:p>
    <w:p>
      <w:pPr>
        <w:pStyle w:val="ListParagraph"/>
        <w:numPr>
          <w:ilvl w:val="0"/>
          <w:numId w:val="2"/>
        </w:numPr>
        <w:spacing w:after="60" w:line="260"/>
      </w:pPr>
      <w:r>
        <w:rPr>
          <w:rFonts w:ascii="Arial" w:cs="Arial" w:eastAsia="Arial" w:hAnsi="Arial"/>
          <w:color w:val="222222"/>
          <w:sz w:val="20"/>
          <w:szCs w:val="20"/>
        </w:rPr>
        <w:t xml:space="preserve">Accounting pulls Jacobs billings for Hare, Tonto, Ranger, Windmill, Maya, and Whiptail from 1 April 2026 through 30 September 2026.</w:t>
      </w:r>
    </w:p>
    <w:p>
      <w:pPr>
        <w:pStyle w:val="ListParagraph"/>
        <w:numPr>
          <w:ilvl w:val="0"/>
          <w:numId w:val="2"/>
        </w:numPr>
        <w:spacing w:after="60" w:line="260"/>
      </w:pPr>
      <w:r>
        <w:rPr>
          <w:rFonts w:ascii="Arial" w:cs="Arial" w:eastAsia="Arial" w:hAnsi="Arial"/>
          <w:color w:val="222222"/>
          <w:sz w:val="20"/>
          <w:szCs w:val="20"/>
        </w:rPr>
        <w:t xml:space="preserve">PMA joins names to roles. Scheduler joins hours to WBS. OE flags hours that produced no comment log, calculation, or study file.</w:t>
      </w:r>
    </w:p>
    <w:p>
      <w:pPr>
        <w:pStyle w:val="ListParagraph"/>
        <w:numPr>
          <w:ilvl w:val="0"/>
          <w:numId w:val="2"/>
        </w:numPr>
        <w:spacing w:after="60" w:line="260"/>
      </w:pPr>
      <w:r>
        <w:rPr>
          <w:rFonts w:ascii="Arial" w:cs="Arial" w:eastAsia="Arial" w:hAnsi="Arial"/>
          <w:color w:val="222222"/>
          <w:sz w:val="20"/>
          <w:szCs w:val="20"/>
        </w:rPr>
        <w:t xml:space="preserve">Sort findings into three buckets: payable, question, recover.</w:t>
      </w:r>
    </w:p>
    <w:p>
      <w:pPr>
        <w:pStyle w:val="ListParagraph"/>
        <w:numPr>
          <w:ilvl w:val="0"/>
          <w:numId w:val="2"/>
        </w:numPr>
        <w:spacing w:after="60" w:line="260"/>
      </w:pPr>
      <w:r>
        <w:rPr>
          <w:rFonts w:ascii="Arial" w:cs="Arial" w:eastAsia="Arial" w:hAnsi="Arial"/>
          <w:color w:val="222222"/>
          <w:sz w:val="20"/>
          <w:szCs w:val="20"/>
        </w:rPr>
        <w:t xml:space="preserve">Question bucket goes to Jacobs with a ten-business-day response clock. Silence is treated as recover.</w:t>
      </w:r>
    </w:p>
    <w:p>
      <w:pPr>
        <w:pStyle w:val="ListParagraph"/>
        <w:numPr>
          <w:ilvl w:val="0"/>
          <w:numId w:val="2"/>
        </w:numPr>
        <w:spacing w:after="60" w:line="260"/>
      </w:pPr>
      <w:r>
        <w:rPr>
          <w:rFonts w:ascii="Arial" w:cs="Arial" w:eastAsia="Arial" w:hAnsi="Arial"/>
          <w:color w:val="222222"/>
          <w:sz w:val="20"/>
          <w:szCs w:val="20"/>
        </w:rPr>
        <w:t xml:space="preserve">Recover bucket becomes a written credit memo request. Do not net it quietly against a future invoice without a credit document.</w:t>
      </w:r>
    </w:p>
    <w:p>
      <w:pPr>
        <w:pStyle w:val="ListParagraph"/>
        <w:numPr>
          <w:ilvl w:val="0"/>
          <w:numId w:val="2"/>
        </w:numPr>
        <w:spacing w:after="60" w:line="260"/>
      </w:pPr>
      <w:r>
        <w:rPr>
          <w:rFonts w:ascii="Arial" w:cs="Arial" w:eastAsia="Arial" w:hAnsi="Arial"/>
          <w:color w:val="222222"/>
          <w:sz w:val="20"/>
          <w:szCs w:val="20"/>
        </w:rPr>
        <w:t xml:space="preserve">Whiptail pre-30 percent spend is the first recover file. Document the $1.7 million / 7 percent figure against actual invoices so the number is no longer anecdotal.</w:t>
      </w:r>
    </w:p>
    <w:p>
      <w:pPr>
        <w:spacing w:after="160" w:before="0" w:line="276"/>
        <w:jc w:val="left"/>
      </w:pPr>
      <w:r>
        <w:rPr>
          <w:rFonts w:ascii="Arial" w:cs="Arial" w:eastAsia="Arial" w:hAnsi="Arial"/>
          <w:b w:val="false"/>
          <w:bCs w:val="false"/>
          <w:i w:val="false"/>
          <w:iCs w:val="false"/>
          <w:color w:val="222222"/>
          <w:sz w:val="20"/>
          <w:szCs w:val="20"/>
        </w:rPr>
        <w:t xml:space="preserve">Look-back finish date: 31 October 2026. After that date we are on the new test only, except for open disputes already in writing.</w:t>
      </w:r>
    </w:p>
    <w:p>
      <w:pPr>
        <w:pStyle w:val="Heading1"/>
        <w:pBdr>
          <w:bottom w:val="single" w:color="C4A35A" w:sz="12" w:space="1"/>
        </w:pBdr>
        <w:spacing w:after="140" w:before="280"/>
      </w:pPr>
      <w:r>
        <w:rPr>
          <w:rFonts w:ascii="Arial" w:cs="Arial" w:eastAsia="Arial" w:hAnsi="Arial"/>
          <w:b/>
          <w:bCs/>
          <w:color w:val="1B365D"/>
          <w:sz w:val="28"/>
          <w:szCs w:val="28"/>
        </w:rPr>
        <w:t xml:space="preserve">8. Who does the work</w:t>
      </w:r>
    </w:p>
    <w:p>
      <w:pPr>
        <w:spacing w:after="120" w:before="0" w:line="276"/>
        <w:jc w:val="left"/>
      </w:pPr>
      <w:r>
        <w:rPr>
          <w:rFonts w:ascii="Arial" w:cs="Arial" w:eastAsia="Arial" w:hAnsi="Arial"/>
          <w:b w:val="false"/>
          <w:bCs w:val="false"/>
          <w:i w:val="false"/>
          <w:iCs w:val="false"/>
          <w:color w:val="222222"/>
          <w:sz w:val="20"/>
          <w:szCs w:val="20"/>
        </w:rPr>
        <w:t xml:space="preserve">The correction itself uses the same five seats. We do not hire a sixth function to police the five.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3080"/>
      </w:tblGrid>
      <w:tr>
        <w:trPr>
          <w:tblHeader/>
        </w:trPr>
        <w:tc>
          <w:tcPr>
            <w:tcW w:type="dxa" w:w="18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Seat</w:t>
            </w:r>
          </w:p>
        </w:tc>
        <w:tc>
          <w:tcPr>
            <w:tcW w:type="dxa" w:w="24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Name (fill this week)</w:t>
            </w:r>
          </w:p>
        </w:tc>
        <w:tc>
          <w:tcPr>
            <w:tcW w:type="dxa" w:w="28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Duty on this plan</w:t>
            </w:r>
          </w:p>
        </w:tc>
        <w:tc>
          <w:tcPr>
            <w:tcW w:type="dxa" w:w="308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Weekly cap while correcting</w:t>
            </w:r>
          </w:p>
        </w:tc>
      </w:tr>
      <w:tr>
        <w:trPr>
          <w:tblHeader w:val="off"/>
        </w:trPr>
        <w:tc>
          <w:tcPr>
            <w:tcW w:type="dxa" w:w="18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PM</w:t>
            </w:r>
          </w:p>
        </w:tc>
        <w:tc>
          <w:tcPr>
            <w:tcW w:type="dxa" w:w="24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TBD — Jacobs PM named by 3 Oct</w:t>
            </w:r>
          </w:p>
        </w:tc>
        <w:tc>
          <w:tcPr>
            <w:tcW w:type="dxa" w:w="28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Roster letter compliance. Meeting cut. Single Jacobs voice to Quanta and Company.</w:t>
            </w:r>
          </w:p>
        </w:tc>
        <w:tc>
          <w:tcPr>
            <w:tcW w:type="dxa" w:w="30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Named cap. Portfolio PM preferred.</w:t>
            </w:r>
          </w:p>
        </w:tc>
      </w:tr>
      <w:tr>
        <w:trPr>
          <w:tblHeader w:val="off"/>
        </w:trPr>
        <w:tc>
          <w:tcPr>
            <w:tcW w:type="dxa" w:w="1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PMA</w:t>
            </w:r>
          </w:p>
        </w:tc>
        <w:tc>
          <w:tcPr>
            <w:tcW w:type="dxa" w:w="2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TBD</w:t>
            </w:r>
          </w:p>
        </w:tc>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Roster file, charge map, invoice package, comment-log hygiene, calendar purge.</w:t>
            </w:r>
          </w:p>
        </w:tc>
        <w:tc>
          <w:tcPr>
            <w:tcW w:type="dxa" w:w="30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Named cap across four jobs.</w:t>
            </w:r>
          </w:p>
        </w:tc>
      </w:tr>
      <w:tr>
        <w:trPr>
          <w:tblHeader w:val="off"/>
        </w:trPr>
        <w:tc>
          <w:tcPr>
            <w:tcW w:type="dxa" w:w="18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Scheduler</w:t>
            </w:r>
          </w:p>
        </w:tc>
        <w:tc>
          <w:tcPr>
            <w:tcW w:type="dxa" w:w="24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TBD</w:t>
            </w:r>
          </w:p>
        </w:tc>
        <w:tc>
          <w:tcPr>
            <w:tcW w:type="dxa" w:w="28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WBS dictionary, P6 header truth, labor-curve quarantine until CP-to-ISD exists.</w:t>
            </w:r>
          </w:p>
        </w:tc>
        <w:tc>
          <w:tcPr>
            <w:tcW w:type="dxa" w:w="30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Named cap. No resource-loading of unauthorized names.</w:t>
            </w:r>
          </w:p>
        </w:tc>
      </w:tr>
      <w:tr>
        <w:trPr>
          <w:tblHeader w:val="off"/>
        </w:trPr>
        <w:tc>
          <w:tcPr>
            <w:tcW w:type="dxa" w:w="1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Accounting</w:t>
            </w:r>
          </w:p>
        </w:tc>
        <w:tc>
          <w:tcPr>
            <w:tcW w:type="dxa" w:w="24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TBD — Company cost</w:t>
            </w:r>
          </w:p>
        </w:tc>
        <w:tc>
          <w:tcPr>
            <w:tcW w:type="dxa" w:w="28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Invoice hold, test sheet, look-back, credit memos, future-project billing SOP.</w:t>
            </w:r>
          </w:p>
        </w:tc>
        <w:tc>
          <w:tcPr>
            <w:tcW w:type="dxa" w:w="30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This is a Company control seat. Jacobs accounting does not self-approve.</w:t>
            </w:r>
          </w:p>
        </w:tc>
      </w:tr>
      <w:tr>
        <w:trPr>
          <w:tblHeader w:val="off"/>
        </w:trPr>
        <w:tc>
          <w:tcPr>
            <w:tcW w:type="dxa" w:w="18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Owner’s engineering</w:t>
            </w:r>
          </w:p>
        </w:tc>
        <w:tc>
          <w:tcPr>
            <w:tcW w:type="dxa" w:w="24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Parrotta / Braunguard / Pink / Crowell + named Jacobs reviewers</w:t>
            </w:r>
          </w:p>
        </w:tc>
        <w:tc>
          <w:tcPr>
            <w:tcW w:type="dxa" w:w="28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Confirm which Jacobs OE names are actually reviewing. Kill duplicate markups. Protect the 80-hour 30% budget.</w:t>
            </w:r>
          </w:p>
        </w:tc>
        <w:tc>
          <w:tcPr>
            <w:tcW w:type="dxa" w:w="30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Existing bench hours. No new OE names without a surge list.</w:t>
            </w:r>
          </w:p>
        </w:tc>
      </w:tr>
    </w:tbl>
    <w:p>
      <w:pPr>
        <w:spacing w:after="80"/>
      </w:pPr>
    </w:p>
    <w:p>
      <w:pPr>
        <w:spacing w:after="160" w:before="0" w:line="276"/>
        <w:jc w:val="left"/>
      </w:pPr>
      <w:r>
        <w:rPr>
          <w:rFonts w:ascii="Arial" w:cs="Arial" w:eastAsia="Arial" w:hAnsi="Arial"/>
          <w:b w:val="false"/>
          <w:bCs w:val="false"/>
          <w:i w:val="false"/>
          <w:iCs w:val="false"/>
          <w:color w:val="222222"/>
          <w:sz w:val="20"/>
          <w:szCs w:val="20"/>
        </w:rPr>
        <w:t xml:space="preserve">Company Project Lead chairs. Quanta (Wittwer / Bittner) is informed of the roster and the meeting cut. Quanta does not approve Jacobs invoices.</w:t>
      </w:r>
    </w:p>
    <w:p>
      <w:pPr>
        <w:pStyle w:val="Heading1"/>
        <w:pBdr>
          <w:bottom w:val="single" w:color="C4A35A" w:sz="12" w:space="1"/>
        </w:pBdr>
        <w:spacing w:after="140" w:before="280"/>
      </w:pPr>
      <w:r>
        <w:rPr>
          <w:rFonts w:ascii="Arial" w:cs="Arial" w:eastAsia="Arial" w:hAnsi="Arial"/>
          <w:b/>
          <w:bCs/>
          <w:color w:val="1B365D"/>
          <w:sz w:val="28"/>
          <w:szCs w:val="28"/>
        </w:rPr>
        <w:t xml:space="preserve">9. Thirty / sixty / ninety</w:t>
      </w:r>
    </w:p>
    <w:p>
      <w:pPr>
        <w:spacing w:after="120" w:before="0" w:line="276"/>
        <w:jc w:val="left"/>
      </w:pPr>
      <w:r>
        <w:rPr>
          <w:rFonts w:ascii="Arial" w:cs="Arial" w:eastAsia="Arial" w:hAnsi="Arial"/>
          <w:b w:val="false"/>
          <w:bCs w:val="false"/>
          <w:i w:val="false"/>
          <w:iCs w:val="false"/>
          <w:color w:val="222222"/>
          <w:sz w:val="20"/>
          <w:szCs w:val="20"/>
        </w:rPr>
        <w:t xml:space="preserve">Clock starts 30 September 2026. This overlay sits on the 23 September portfolio calendar. It does not replace land close, P6, or the 6 November Hare page turn.</w:t>
      </w:r>
    </w:p>
    <w:p>
      <w:pPr>
        <w:pStyle w:val="Heading2"/>
        <w:spacing w:after="100" w:before="220"/>
      </w:pPr>
      <w:r>
        <w:rPr>
          <w:rFonts w:ascii="Arial" w:cs="Arial" w:eastAsia="Arial" w:hAnsi="Arial"/>
          <w:b/>
          <w:bCs/>
          <w:color w:val="1B365D"/>
          <w:sz w:val="24"/>
          <w:szCs w:val="24"/>
        </w:rPr>
        <w:t xml:space="preserve">Days 1–30 · Cut and hold · 30 Sep – 30 Oct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2200"/>
        <w:gridCol w:w="2880"/>
      </w:tblGrid>
      <w:tr>
        <w:trPr>
          <w:tblHeader/>
        </w:trPr>
        <w:tc>
          <w:tcPr>
            <w:tcW w:type="dxa" w:w="7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w:t>
            </w:r>
          </w:p>
        </w:tc>
        <w:tc>
          <w:tcPr>
            <w:tcW w:type="dxa" w:w="43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Action</w:t>
            </w:r>
          </w:p>
        </w:tc>
        <w:tc>
          <w:tcPr>
            <w:tcW w:type="dxa" w:w="22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Owner</w:t>
            </w:r>
          </w:p>
        </w:tc>
        <w:tc>
          <w:tcPr>
            <w:tcW w:type="dxa" w:w="288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Exit test</w:t>
            </w:r>
          </w:p>
        </w:tc>
      </w:tr>
      <w:tr>
        <w:trPr>
          <w:tblHeader w:val="off"/>
        </w:trPr>
        <w:tc>
          <w:tcPr>
            <w:tcW w:type="dxa" w:w="7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1</w:t>
            </w:r>
          </w:p>
        </w:tc>
        <w:tc>
          <w:tcPr>
            <w:tcW w:type="dxa" w:w="43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Stop-bill Maya / Whiptail. Authorized-roster letter on the four live jobs.</w:t>
            </w:r>
          </w:p>
        </w:tc>
        <w:tc>
          <w:tcPr>
            <w:tcW w:type="dxa" w:w="22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CPL</w:t>
            </w:r>
          </w:p>
        </w:tc>
        <w:tc>
          <w:tcPr>
            <w:tcW w:type="dxa" w:w="28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Two letters in the folder. Jacobs ack.</w:t>
            </w:r>
          </w:p>
        </w:tc>
      </w:tr>
      <w:tr>
        <w:trPr>
          <w:tblHeader w:val="off"/>
        </w:trPr>
        <w:tc>
          <w:tcPr>
            <w:tcW w:type="dxa" w:w="7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2</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Named incumbents for PM, PMA, scheduler, accounting, OE per job.</w:t>
            </w:r>
          </w:p>
        </w:tc>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Jacobs + CPL</w:t>
            </w:r>
          </w:p>
        </w:tc>
        <w:tc>
          <w:tcPr>
            <w:tcW w:type="dxa" w:w="28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No vacant seat is billing.</w:t>
            </w:r>
          </w:p>
        </w:tc>
      </w:tr>
      <w:tr>
        <w:trPr>
          <w:tblHeader w:val="off"/>
        </w:trPr>
        <w:tc>
          <w:tcPr>
            <w:tcW w:type="dxa" w:w="7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3</w:t>
            </w:r>
          </w:p>
        </w:tc>
        <w:tc>
          <w:tcPr>
            <w:tcW w:type="dxa" w:w="43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Invoice hold + October test sheet live.</w:t>
            </w:r>
          </w:p>
        </w:tc>
        <w:tc>
          <w:tcPr>
            <w:tcW w:type="dxa" w:w="22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Accounting</w:t>
            </w:r>
          </w:p>
        </w:tc>
        <w:tc>
          <w:tcPr>
            <w:tcW w:type="dxa" w:w="28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At least one invoice run through the eight tests.</w:t>
            </w:r>
          </w:p>
        </w:tc>
      </w:tr>
      <w:tr>
        <w:trPr>
          <w:tblHeader w:val="off"/>
        </w:trPr>
        <w:tc>
          <w:tcPr>
            <w:tcW w:type="dxa" w:w="7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4</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Look-back file opened. Whiptail actuals tied to invoices.</w:t>
            </w:r>
          </w:p>
        </w:tc>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Accounting + PMA</w:t>
            </w:r>
          </w:p>
        </w:tc>
        <w:tc>
          <w:tcPr>
            <w:tcW w:type="dxa" w:w="28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Whiptail number is sourced, not remembered.</w:t>
            </w:r>
          </w:p>
        </w:tc>
      </w:tr>
      <w:tr>
        <w:trPr>
          <w:tblHeader w:val="off"/>
        </w:trPr>
        <w:tc>
          <w:tcPr>
            <w:tcW w:type="dxa" w:w="7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5</w:t>
            </w:r>
          </w:p>
        </w:tc>
        <w:tc>
          <w:tcPr>
            <w:tcW w:type="dxa" w:w="43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Ranger and Windmill one-pagers exist so charges have a home.</w:t>
            </w:r>
          </w:p>
        </w:tc>
        <w:tc>
          <w:tcPr>
            <w:tcW w:type="dxa" w:w="22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PM + PMA</w:t>
            </w:r>
          </w:p>
        </w:tc>
        <w:tc>
          <w:tcPr>
            <w:tcW w:type="dxa" w:w="28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Same template as Hare facts.</w:t>
            </w:r>
          </w:p>
        </w:tc>
      </w:tr>
      <w:tr>
        <w:trPr>
          <w:tblHeader w:val="off"/>
        </w:trPr>
        <w:tc>
          <w:tcPr>
            <w:tcW w:type="dxa" w:w="7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6</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Hare 30% review hours tracked against the 80-hour budget.</w:t>
            </w:r>
          </w:p>
        </w:tc>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OE + PMA</w:t>
            </w:r>
          </w:p>
        </w:tc>
        <w:tc>
          <w:tcPr>
            <w:tcW w:type="dxa" w:w="28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Weekly actual vs. cap in the Tuesday huddle.</w:t>
            </w:r>
          </w:p>
        </w:tc>
      </w:tr>
    </w:tbl>
    <w:p>
      <w:pPr>
        <w:spacing w:after="80"/>
      </w:pPr>
    </w:p>
    <w:p>
      <w:pPr>
        <w:pStyle w:val="Heading2"/>
        <w:spacing w:after="100" w:before="220"/>
      </w:pPr>
      <w:r>
        <w:rPr>
          <w:rFonts w:ascii="Arial" w:cs="Arial" w:eastAsia="Arial" w:hAnsi="Arial"/>
          <w:b/>
          <w:bCs/>
          <w:color w:val="1B365D"/>
          <w:sz w:val="24"/>
          <w:szCs w:val="24"/>
        </w:rPr>
        <w:t xml:space="preserve">Days 31–60 · Clean the books · 31 Oct – 29 Nov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2200"/>
        <w:gridCol w:w="2880"/>
      </w:tblGrid>
      <w:tr>
        <w:trPr>
          <w:tblHeader/>
        </w:trPr>
        <w:tc>
          <w:tcPr>
            <w:tcW w:type="dxa" w:w="7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w:t>
            </w:r>
          </w:p>
        </w:tc>
        <w:tc>
          <w:tcPr>
            <w:tcW w:type="dxa" w:w="43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Action</w:t>
            </w:r>
          </w:p>
        </w:tc>
        <w:tc>
          <w:tcPr>
            <w:tcW w:type="dxa" w:w="22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Owner</w:t>
            </w:r>
          </w:p>
        </w:tc>
        <w:tc>
          <w:tcPr>
            <w:tcW w:type="dxa" w:w="288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Exit test</w:t>
            </w:r>
          </w:p>
        </w:tc>
      </w:tr>
      <w:tr>
        <w:trPr>
          <w:tblHeader w:val="off"/>
        </w:trPr>
        <w:tc>
          <w:tcPr>
            <w:tcW w:type="dxa" w:w="7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7</w:t>
            </w:r>
          </w:p>
        </w:tc>
        <w:tc>
          <w:tcPr>
            <w:tcW w:type="dxa" w:w="43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Look-back closed. Credit memos issued or disputes dated.</w:t>
            </w:r>
          </w:p>
        </w:tc>
        <w:tc>
          <w:tcPr>
            <w:tcW w:type="dxa" w:w="22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Accounting</w:t>
            </w:r>
          </w:p>
        </w:tc>
        <w:tc>
          <w:tcPr>
            <w:tcW w:type="dxa" w:w="28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No open “question” bucket.</w:t>
            </w:r>
          </w:p>
        </w:tc>
      </w:tr>
      <w:tr>
        <w:trPr>
          <w:tblHeader w:val="off"/>
        </w:trPr>
        <w:tc>
          <w:tcPr>
            <w:tcW w:type="dxa" w:w="7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8</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Hare 30% page turn 6 Nov run on the authorized roster only.</w:t>
            </w:r>
          </w:p>
        </w:tc>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PM + OE</w:t>
            </w:r>
          </w:p>
        </w:tc>
        <w:tc>
          <w:tcPr>
            <w:tcW w:type="dxa" w:w="28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Sign-in sheet matches the roster.</w:t>
            </w:r>
          </w:p>
        </w:tc>
      </w:tr>
      <w:tr>
        <w:trPr>
          <w:tblHeader w:val="off"/>
        </w:trPr>
        <w:tc>
          <w:tcPr>
            <w:tcW w:type="dxa" w:w="7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9</w:t>
            </w:r>
          </w:p>
        </w:tc>
        <w:tc>
          <w:tcPr>
            <w:tcW w:type="dxa" w:w="43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Publish the future-project billing SOP (Section 10) for any new SPS job.</w:t>
            </w:r>
          </w:p>
        </w:tc>
        <w:tc>
          <w:tcPr>
            <w:tcW w:type="dxa" w:w="22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Accounting + CPL</w:t>
            </w:r>
          </w:p>
        </w:tc>
        <w:tc>
          <w:tcPr>
            <w:tcW w:type="dxa" w:w="28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SOP used on the next kickoff, not filed.</w:t>
            </w:r>
          </w:p>
        </w:tc>
      </w:tr>
      <w:tr>
        <w:trPr>
          <w:tblHeader w:val="off"/>
        </w:trPr>
        <w:tc>
          <w:tcPr>
            <w:tcW w:type="dxa" w:w="7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10</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Tonto 60% hour cap written so it cannot raid the other three WOs.</w:t>
            </w:r>
          </w:p>
        </w:tc>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CPL + accounting</w:t>
            </w:r>
          </w:p>
        </w:tc>
        <w:tc>
          <w:tcPr>
            <w:tcW w:type="dxa" w:w="28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Separate cap in the charge map.</w:t>
            </w:r>
          </w:p>
        </w:tc>
      </w:tr>
    </w:tbl>
    <w:p>
      <w:pPr>
        <w:spacing w:after="80"/>
      </w:pPr>
    </w:p>
    <w:p>
      <w:pPr>
        <w:pStyle w:val="Heading2"/>
        <w:spacing w:after="100" w:before="220"/>
      </w:pPr>
      <w:r>
        <w:rPr>
          <w:rFonts w:ascii="Arial" w:cs="Arial" w:eastAsia="Arial" w:hAnsi="Arial"/>
          <w:b/>
          <w:bCs/>
          <w:color w:val="1B365D"/>
          <w:sz w:val="24"/>
          <w:szCs w:val="24"/>
        </w:rPr>
        <w:t xml:space="preserve">Days 61–90 · Make it the default · 30 Nov 2026 – 29 Dec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2200"/>
        <w:gridCol w:w="2880"/>
      </w:tblGrid>
      <w:tr>
        <w:trPr>
          <w:tblHeader/>
        </w:trPr>
        <w:tc>
          <w:tcPr>
            <w:tcW w:type="dxa" w:w="7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w:t>
            </w:r>
          </w:p>
        </w:tc>
        <w:tc>
          <w:tcPr>
            <w:tcW w:type="dxa" w:w="43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Action</w:t>
            </w:r>
          </w:p>
        </w:tc>
        <w:tc>
          <w:tcPr>
            <w:tcW w:type="dxa" w:w="22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Owner</w:t>
            </w:r>
          </w:p>
        </w:tc>
        <w:tc>
          <w:tcPr>
            <w:tcW w:type="dxa" w:w="288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Exit test</w:t>
            </w:r>
          </w:p>
        </w:tc>
      </w:tr>
      <w:tr>
        <w:trPr>
          <w:tblHeader w:val="off"/>
        </w:trPr>
        <w:tc>
          <w:tcPr>
            <w:tcW w:type="dxa" w:w="7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11</w:t>
            </w:r>
          </w:p>
        </w:tc>
        <w:tc>
          <w:tcPr>
            <w:tcW w:type="dxa" w:w="43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Ranger and Windmill 30% reviews on the same roster and 80-hour cap.</w:t>
            </w:r>
          </w:p>
        </w:tc>
        <w:tc>
          <w:tcPr>
            <w:tcW w:type="dxa" w:w="22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OE + PM</w:t>
            </w:r>
          </w:p>
        </w:tc>
        <w:tc>
          <w:tcPr>
            <w:tcW w:type="dxa" w:w="28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Two more sign-in sheets that match.</w:t>
            </w:r>
          </w:p>
        </w:tc>
      </w:tr>
      <w:tr>
        <w:trPr>
          <w:tblHeader w:val="off"/>
        </w:trPr>
        <w:tc>
          <w:tcPr>
            <w:tcW w:type="dxa" w:w="7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12</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First clean month: December invoice with zero rejected unauthorized names.</w:t>
            </w:r>
          </w:p>
        </w:tc>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Accounting</w:t>
            </w:r>
          </w:p>
        </w:tc>
        <w:tc>
          <w:tcPr>
            <w:tcW w:type="dxa" w:w="28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Pass on the first cycle, not the third.</w:t>
            </w:r>
          </w:p>
        </w:tc>
      </w:tr>
      <w:tr>
        <w:trPr>
          <w:tblHeader w:val="off"/>
        </w:trPr>
        <w:tc>
          <w:tcPr>
            <w:tcW w:type="dxa" w:w="7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13</w:t>
            </w:r>
          </w:p>
        </w:tc>
        <w:tc>
          <w:tcPr>
            <w:tcW w:type="dxa" w:w="43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Quarterly roster recertification scheduled for 15 Jan 2027 (Tonto 60% window).</w:t>
            </w:r>
          </w:p>
        </w:tc>
        <w:tc>
          <w:tcPr>
            <w:tcW w:type="dxa" w:w="22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PMA</w:t>
            </w:r>
          </w:p>
        </w:tc>
        <w:tc>
          <w:tcPr>
            <w:tcW w:type="dxa" w:w="28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Calendar hold exists.</w:t>
            </w:r>
          </w:p>
        </w:tc>
      </w:tr>
      <w:tr>
        <w:trPr>
          <w:tblHeader w:val="off"/>
        </w:trPr>
        <w:tc>
          <w:tcPr>
            <w:tcW w:type="dxa" w:w="7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14</w:t>
            </w:r>
          </w:p>
        </w:tc>
        <w:tc>
          <w:tcPr>
            <w:tcW w:type="dxa" w:w="43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Leadership exception only if a job needs a second PM or a standing extra discipline. Default answer is no.</w:t>
            </w:r>
          </w:p>
        </w:tc>
        <w:tc>
          <w:tcPr>
            <w:tcW w:type="dxa" w:w="22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CPL</w:t>
            </w:r>
          </w:p>
        </w:tc>
        <w:tc>
          <w:tcPr>
            <w:tcW w:type="dxa" w:w="28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Any extra name has a surge form.</w:t>
            </w:r>
          </w:p>
        </w:tc>
      </w:tr>
    </w:tbl>
    <w:p>
      <w:pPr>
        <w:spacing w:after="80"/>
      </w:pPr>
    </w:p>
    <w:p>
      <w:pPr>
        <w:pStyle w:val="Heading1"/>
        <w:pBdr>
          <w:bottom w:val="single" w:color="C4A35A" w:sz="12" w:space="1"/>
        </w:pBdr>
        <w:spacing w:after="140" w:before="280"/>
      </w:pPr>
      <w:r>
        <w:rPr>
          <w:rFonts w:ascii="Arial" w:cs="Arial" w:eastAsia="Arial" w:hAnsi="Arial"/>
          <w:b/>
          <w:bCs/>
          <w:color w:val="1B365D"/>
          <w:sz w:val="28"/>
          <w:szCs w:val="28"/>
        </w:rPr>
        <w:t xml:space="preserve">10. Rule for every future project</w:t>
      </w:r>
    </w:p>
    <w:p>
      <w:pPr>
        <w:spacing w:after="120" w:before="0" w:line="276"/>
        <w:jc w:val="left"/>
      </w:pPr>
      <w:r>
        <w:rPr>
          <w:rFonts w:ascii="Arial" w:cs="Arial" w:eastAsia="Arial" w:hAnsi="Arial"/>
          <w:b w:val="false"/>
          <w:bCs w:val="false"/>
          <w:i w:val="false"/>
          <w:iCs w:val="false"/>
          <w:color w:val="222222"/>
          <w:sz w:val="20"/>
          <w:szCs w:val="20"/>
        </w:rPr>
        <w:t xml:space="preserve">New SPS job, same skeleton. Kickoff does not start until the one-page charge map exists.</w:t>
      </w:r>
    </w:p>
    <w:p>
      <w:pPr>
        <w:pStyle w:val="ListParagraph"/>
        <w:numPr>
          <w:ilvl w:val="0"/>
          <w:numId w:val="2"/>
        </w:numPr>
        <w:spacing w:after="60" w:line="260"/>
      </w:pPr>
      <w:r>
        <w:rPr>
          <w:rFonts w:ascii="Arial" w:cs="Arial" w:eastAsia="Arial" w:hAnsi="Arial"/>
          <w:color w:val="222222"/>
          <w:sz w:val="20"/>
          <w:szCs w:val="20"/>
        </w:rPr>
        <w:t xml:space="preserve">Authorized functions at award: 1 PM, 1 PMA, 1 scheduler, accounting, owner’s engineering.</w:t>
      </w:r>
    </w:p>
    <w:p>
      <w:pPr>
        <w:pStyle w:val="ListParagraph"/>
        <w:numPr>
          <w:ilvl w:val="0"/>
          <w:numId w:val="2"/>
        </w:numPr>
        <w:spacing w:after="60" w:line="260"/>
      </w:pPr>
      <w:r>
        <w:rPr>
          <w:rFonts w:ascii="Arial" w:cs="Arial" w:eastAsia="Arial" w:hAnsi="Arial"/>
          <w:color w:val="222222"/>
          <w:sz w:val="20"/>
          <w:szCs w:val="20"/>
        </w:rPr>
        <w:t xml:space="preserve">Names before hours. A vacant seat cannot charge “while we staff it.”</w:t>
      </w:r>
    </w:p>
    <w:p>
      <w:pPr>
        <w:pStyle w:val="ListParagraph"/>
        <w:numPr>
          <w:ilvl w:val="0"/>
          <w:numId w:val="2"/>
        </w:numPr>
        <w:spacing w:after="60" w:line="260"/>
      </w:pPr>
      <w:r>
        <w:rPr>
          <w:rFonts w:ascii="Arial" w:cs="Arial" w:eastAsia="Arial" w:hAnsi="Arial"/>
          <w:color w:val="222222"/>
          <w:sz w:val="20"/>
          <w:szCs w:val="20"/>
        </w:rPr>
        <w:t xml:space="preserve">One live WO structure mapped to Exhibit G before the first timesheet.</w:t>
      </w:r>
    </w:p>
    <w:p>
      <w:pPr>
        <w:pStyle w:val="ListParagraph"/>
        <w:numPr>
          <w:ilvl w:val="0"/>
          <w:numId w:val="2"/>
        </w:numPr>
        <w:spacing w:after="60" w:line="260"/>
      </w:pPr>
      <w:r>
        <w:rPr>
          <w:rFonts w:ascii="Arial" w:cs="Arial" w:eastAsia="Arial" w:hAnsi="Arial"/>
          <w:color w:val="222222"/>
          <w:sz w:val="20"/>
          <w:szCs w:val="20"/>
        </w:rPr>
        <w:t xml:space="preserve">Weekly hour caps on the roster. Caps change only in writing.</w:t>
      </w:r>
    </w:p>
    <w:p>
      <w:pPr>
        <w:pStyle w:val="ListParagraph"/>
        <w:numPr>
          <w:ilvl w:val="0"/>
          <w:numId w:val="2"/>
        </w:numPr>
        <w:spacing w:after="60" w:line="260"/>
      </w:pPr>
      <w:r>
        <w:rPr>
          <w:rFonts w:ascii="Arial" w:cs="Arial" w:eastAsia="Arial" w:hAnsi="Arial"/>
          <w:color w:val="222222"/>
          <w:sz w:val="20"/>
          <w:szCs w:val="20"/>
        </w:rPr>
        <w:t xml:space="preserve">Invoice package required: roster snapshot, timesheets, artifact list, WBS coding.</w:t>
      </w:r>
    </w:p>
    <w:p>
      <w:pPr>
        <w:pStyle w:val="ListParagraph"/>
        <w:numPr>
          <w:ilvl w:val="0"/>
          <w:numId w:val="2"/>
        </w:numPr>
        <w:spacing w:after="60" w:line="260"/>
      </w:pPr>
      <w:r>
        <w:rPr>
          <w:rFonts w:ascii="Arial" w:cs="Arial" w:eastAsia="Arial" w:hAnsi="Arial"/>
          <w:color w:val="222222"/>
          <w:sz w:val="20"/>
          <w:szCs w:val="20"/>
        </w:rPr>
        <w:t xml:space="preserve">Company accounting runs the eight tests. Jacobs does not self-certify.</w:t>
      </w:r>
    </w:p>
    <w:p>
      <w:pPr>
        <w:pStyle w:val="ListParagraph"/>
        <w:numPr>
          <w:ilvl w:val="0"/>
          <w:numId w:val="2"/>
        </w:numPr>
        <w:spacing w:after="60" w:line="260"/>
      </w:pPr>
      <w:r>
        <w:rPr>
          <w:rFonts w:ascii="Arial" w:cs="Arial" w:eastAsia="Arial" w:hAnsi="Arial"/>
          <w:color w:val="222222"/>
          <w:sz w:val="20"/>
          <w:szCs w:val="20"/>
        </w:rPr>
        <w:t xml:space="preserve">Labor curves stay quarantined until the schedule has a critical path to ISD. A curve is not permission to staff.</w:t>
      </w:r>
    </w:p>
    <w:p>
      <w:pPr>
        <w:pStyle w:val="ListParagraph"/>
        <w:numPr>
          <w:ilvl w:val="0"/>
          <w:numId w:val="2"/>
        </w:numPr>
        <w:spacing w:after="60" w:line="260"/>
      </w:pPr>
      <w:r>
        <w:rPr>
          <w:rFonts w:ascii="Arial" w:cs="Arial" w:eastAsia="Arial" w:hAnsi="Arial"/>
          <w:color w:val="222222"/>
          <w:sz w:val="20"/>
          <w:szCs w:val="20"/>
        </w:rPr>
        <w:t xml:space="preserve">Deferred jobs (the Maya / Whiptail pattern) get a stop-bill date the same week the ISD moves. No soft landing.</w:t>
      </w:r>
    </w:p>
    <w:p>
      <w:pPr>
        <w:spacing w:after="160" w:before="0" w:line="276"/>
        <w:jc w:val="left"/>
      </w:pPr>
      <w:r>
        <w:rPr>
          <w:rFonts w:ascii="Arial" w:cs="Arial" w:eastAsia="Arial" w:hAnsi="Arial"/>
          <w:b w:val="false"/>
          <w:bCs w:val="false"/>
          <w:i w:val="false"/>
          <w:iCs w:val="false"/>
          <w:color w:val="222222"/>
          <w:sz w:val="20"/>
          <w:szCs w:val="20"/>
        </w:rPr>
        <w:t xml:space="preserve">If a future proposal shows a Jacobs org chart with two PMs, a client manager, and a cloud of unassigned engineers, the proposal is incomplete. Send it back.</w:t>
      </w:r>
    </w:p>
    <w:p>
      <w:pPr>
        <w:pStyle w:val="Heading1"/>
        <w:pBdr>
          <w:bottom w:val="single" w:color="C4A35A" w:sz="12" w:space="1"/>
        </w:pBdr>
        <w:spacing w:after="140" w:before="280"/>
      </w:pPr>
      <w:r>
        <w:rPr>
          <w:rFonts w:ascii="Arial" w:cs="Arial" w:eastAsia="Arial" w:hAnsi="Arial"/>
          <w:b/>
          <w:bCs/>
          <w:color w:val="1B365D"/>
          <w:sz w:val="28"/>
          <w:szCs w:val="28"/>
        </w:rPr>
        <w:t xml:space="preserve">11. What we will not do</w:t>
      </w:r>
    </w:p>
    <w:p>
      <w:pPr>
        <w:pStyle w:val="ListParagraph"/>
        <w:numPr>
          <w:ilvl w:val="0"/>
          <w:numId w:val="2"/>
        </w:numPr>
        <w:spacing w:after="60" w:line="260"/>
      </w:pPr>
      <w:r>
        <w:rPr>
          <w:rFonts w:ascii="Arial" w:cs="Arial" w:eastAsia="Arial" w:hAnsi="Arial"/>
          <w:color w:val="222222"/>
          <w:sz w:val="20"/>
          <w:szCs w:val="20"/>
        </w:rPr>
        <w:t xml:space="preserve">Use “transition” as a billing category.</w:t>
      </w:r>
    </w:p>
    <w:p>
      <w:pPr>
        <w:pStyle w:val="ListParagraph"/>
        <w:numPr>
          <w:ilvl w:val="0"/>
          <w:numId w:val="2"/>
        </w:numPr>
        <w:spacing w:after="60" w:line="260"/>
      </w:pPr>
      <w:r>
        <w:rPr>
          <w:rFonts w:ascii="Arial" w:cs="Arial" w:eastAsia="Arial" w:hAnsi="Arial"/>
          <w:color w:val="222222"/>
          <w:sz w:val="20"/>
          <w:szCs w:val="20"/>
        </w:rPr>
        <w:t xml:space="preserve">Keep extra Jacobs names on the Tuesday huddle “just in case.”</w:t>
      </w:r>
    </w:p>
    <w:p>
      <w:pPr>
        <w:pStyle w:val="ListParagraph"/>
        <w:numPr>
          <w:ilvl w:val="0"/>
          <w:numId w:val="2"/>
        </w:numPr>
        <w:spacing w:after="60" w:line="260"/>
      </w:pPr>
      <w:r>
        <w:rPr>
          <w:rFonts w:ascii="Arial" w:cs="Arial" w:eastAsia="Arial" w:hAnsi="Arial"/>
          <w:color w:val="222222"/>
          <w:sz w:val="20"/>
          <w:szCs w:val="20"/>
        </w:rPr>
        <w:t xml:space="preserve">Pay two systems of RFI coordination (SharePoint and Procore) as if both were productive time.</w:t>
      </w:r>
    </w:p>
    <w:p>
      <w:pPr>
        <w:pStyle w:val="ListParagraph"/>
        <w:numPr>
          <w:ilvl w:val="0"/>
          <w:numId w:val="2"/>
        </w:numPr>
        <w:spacing w:after="60" w:line="260"/>
      </w:pPr>
      <w:r>
        <w:rPr>
          <w:rFonts w:ascii="Arial" w:cs="Arial" w:eastAsia="Arial" w:hAnsi="Arial"/>
          <w:color w:val="222222"/>
          <w:sz w:val="20"/>
          <w:szCs w:val="20"/>
        </w:rPr>
        <w:t xml:space="preserve">Staff a Jacobs surge to compensate for a 3–4 week onboarding lag. October and early November run with the people already badged.</w:t>
      </w:r>
    </w:p>
    <w:p>
      <w:pPr>
        <w:pStyle w:val="ListParagraph"/>
        <w:numPr>
          <w:ilvl w:val="0"/>
          <w:numId w:val="2"/>
        </w:numPr>
        <w:spacing w:after="60" w:line="260"/>
      </w:pPr>
      <w:r>
        <w:rPr>
          <w:rFonts w:ascii="Arial" w:cs="Arial" w:eastAsia="Arial" w:hAnsi="Arial"/>
          <w:color w:val="222222"/>
          <w:sz w:val="20"/>
          <w:szCs w:val="20"/>
        </w:rPr>
        <w:t xml:space="preserve">Let Tonto’s early 60 percent become a fourth unofficial project team.</w:t>
      </w:r>
    </w:p>
    <w:p>
      <w:pPr>
        <w:pStyle w:val="ListParagraph"/>
        <w:numPr>
          <w:ilvl w:val="0"/>
          <w:numId w:val="2"/>
        </w:numPr>
        <w:spacing w:after="60" w:line="260"/>
      </w:pPr>
      <w:r>
        <w:rPr>
          <w:rFonts w:ascii="Arial" w:cs="Arial" w:eastAsia="Arial" w:hAnsi="Arial"/>
          <w:color w:val="222222"/>
          <w:sz w:val="20"/>
          <w:szCs w:val="20"/>
        </w:rPr>
        <w:t xml:space="preserve">Treat Exhibit D historical quantities or an unapproved AQ study as a reason to add reviewers.</w:t>
      </w:r>
    </w:p>
    <w:p>
      <w:pPr>
        <w:pStyle w:val="ListParagraph"/>
        <w:numPr>
          <w:ilvl w:val="0"/>
          <w:numId w:val="2"/>
        </w:numPr>
        <w:spacing w:after="60" w:line="260"/>
      </w:pPr>
      <w:r>
        <w:rPr>
          <w:rFonts w:ascii="Arial" w:cs="Arial" w:eastAsia="Arial" w:hAnsi="Arial"/>
          <w:color w:val="222222"/>
          <w:sz w:val="20"/>
          <w:szCs w:val="20"/>
        </w:rPr>
        <w:t xml:space="preserve">Net disputed hours against a future invoice without a credit memo.</w:t>
      </w:r>
    </w:p>
    <w:p>
      <w:pPr>
        <w:pStyle w:val="Heading1"/>
        <w:pBdr>
          <w:bottom w:val="single" w:color="C4A35A" w:sz="12" w:space="1"/>
        </w:pBdr>
        <w:spacing w:after="140" w:before="280"/>
      </w:pPr>
      <w:r>
        <w:rPr>
          <w:rFonts w:ascii="Arial" w:cs="Arial" w:eastAsia="Arial" w:hAnsi="Arial"/>
          <w:b/>
          <w:bCs/>
          <w:color w:val="1B365D"/>
          <w:sz w:val="28"/>
          <w:szCs w:val="28"/>
        </w:rPr>
        <w:t xml:space="preserve">12. Success measures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Measure</w:t>
            </w:r>
          </w:p>
        </w:tc>
        <w:tc>
          <w:tcPr>
            <w:tcW w:type="dxa" w:w="6480"/>
            <w:tcBorders>
              <w:top w:val="single" w:color="C5CDD6" w:sz="4"/>
              <w:left w:val="single" w:color="C5CDD6" w:sz="4"/>
              <w:bottom w:val="single" w:color="C5CDD6" w:sz="4"/>
              <w:right w:val="single" w:color="C5CDD6" w:sz="4"/>
            </w:tcBorders>
            <w:shd w:fill="1B365D" w:val="clear"/>
            <w:tcMar>
              <w:top w:type="dxa" w:w="60"/>
              <w:left w:type="dxa" w:w="80"/>
              <w:bottom w:type="dxa" w:w="60"/>
              <w:right w:type="dxa" w:w="80"/>
            </w:tcMar>
            <w:vAlign w:val="center"/>
          </w:tcPr>
          <w:p>
            <w:pPr>
              <w:spacing w:after="0"/>
              <w:jc w:val="left"/>
            </w:pPr>
            <w:r>
              <w:rPr>
                <w:rFonts w:ascii="Arial" w:cs="Arial" w:eastAsia="Arial" w:hAnsi="Arial"/>
                <w:b/>
                <w:bCs/>
                <w:i w:val="false"/>
                <w:iCs w:val="false"/>
                <w:color w:val="FFFFFF"/>
                <w:sz w:val="16"/>
                <w:szCs w:val="16"/>
              </w:rPr>
              <w:t xml:space="preserve">Target by 29 December 2026</w:t>
            </w:r>
          </w:p>
        </w:tc>
      </w:tr>
      <w:tr>
        <w:trPr>
          <w:tblHeader w:val="off"/>
        </w:trPr>
        <w:tc>
          <w:tcPr>
            <w:tcW w:type="dxa" w:w="36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Authorized names per live job</w:t>
            </w:r>
          </w:p>
        </w:tc>
        <w:tc>
          <w:tcPr>
            <w:tcW w:type="dxa" w:w="64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Only the Section 3 seats, plus any open surge form.</w:t>
            </w:r>
          </w:p>
        </w:tc>
      </w:tr>
      <w:tr>
        <w:trPr>
          <w:tblHeader w:val="off"/>
        </w:trPr>
        <w:tc>
          <w:tcPr>
            <w:tcW w:type="dxa" w:w="3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Maya / Whiptail charges after 30 Sep</w:t>
            </w:r>
          </w:p>
        </w:tc>
        <w:tc>
          <w:tcPr>
            <w:tcW w:type="dxa" w:w="64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Zero.</w:t>
            </w:r>
          </w:p>
        </w:tc>
      </w:tr>
      <w:tr>
        <w:trPr>
          <w:tblHeader w:val="off"/>
        </w:trPr>
        <w:tc>
          <w:tcPr>
            <w:tcW w:type="dxa" w:w="36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Invoices passing the eight tests first cycle</w:t>
            </w:r>
          </w:p>
        </w:tc>
        <w:tc>
          <w:tcPr>
            <w:tcW w:type="dxa" w:w="64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December invoice passes clean.</w:t>
            </w:r>
          </w:p>
        </w:tc>
      </w:tr>
      <w:tr>
        <w:trPr>
          <w:tblHeader w:val="off"/>
        </w:trPr>
        <w:tc>
          <w:tcPr>
            <w:tcW w:type="dxa" w:w="3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Look-back</w:t>
            </w:r>
          </w:p>
        </w:tc>
        <w:tc>
          <w:tcPr>
            <w:tcW w:type="dxa" w:w="64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Closed 31 Oct with credits or dated disputes.</w:t>
            </w:r>
          </w:p>
        </w:tc>
      </w:tr>
      <w:tr>
        <w:trPr>
          <w:tblHeader w:val="off"/>
        </w:trPr>
        <w:tc>
          <w:tcPr>
            <w:tcW w:type="dxa" w:w="360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30% review hours</w:t>
            </w:r>
          </w:p>
        </w:tc>
        <w:tc>
          <w:tcPr>
            <w:tcW w:type="dxa" w:w="6480"/>
            <w:tcBorders>
              <w:top w:val="single" w:color="C5CDD6" w:sz="4"/>
              <w:left w:val="single" w:color="C5CDD6" w:sz="4"/>
              <w:bottom w:val="single" w:color="C5CDD6" w:sz="4"/>
              <w:right w:val="single" w:color="C5CDD6" w:sz="4"/>
            </w:tcBorders>
            <w:shd w:fill="F2F4F7"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Tracked against ~80 hours per package. Overrun requires a surge form.</w:t>
            </w:r>
          </w:p>
        </w:tc>
      </w:tr>
      <w:tr>
        <w:trPr>
          <w:tblHeader w:val="off"/>
        </w:trPr>
        <w:tc>
          <w:tcPr>
            <w:tcW w:type="dxa" w:w="360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Meetings</w:t>
            </w:r>
          </w:p>
        </w:tc>
        <w:tc>
          <w:tcPr>
            <w:tcW w:type="dxa" w:w="6480"/>
            <w:tcBorders>
              <w:top w:val="single" w:color="C5CDD6" w:sz="4"/>
              <w:left w:val="single" w:color="C5CDD6" w:sz="4"/>
              <w:bottom w:val="single" w:color="C5CDD6" w:sz="4"/>
              <w:right w:val="single" w:color="C5CDD6" w:sz="4"/>
            </w:tcBorders>
            <w:shd w:fill="FFFFFF" w:val="clear"/>
            <w:tcMar>
              <w:top w:type="dxa" w:w="60"/>
              <w:left w:type="dxa" w:w="80"/>
              <w:bottom w:type="dxa" w:w="60"/>
              <w:right w:type="dxa" w:w="80"/>
            </w:tcMar>
            <w:vAlign w:val="center"/>
          </w:tcPr>
          <w:p>
            <w:pPr>
              <w:spacing w:after="0"/>
              <w:jc w:val="left"/>
            </w:pPr>
            <w:r>
              <w:rPr>
                <w:rFonts w:ascii="Arial" w:cs="Arial" w:eastAsia="Arial" w:hAnsi="Arial"/>
                <w:i w:val="false"/>
                <w:iCs w:val="false"/>
                <w:color w:val="222222"/>
                <w:sz w:val="17"/>
                <w:szCs w:val="17"/>
              </w:rPr>
              <w:t xml:space="preserve">Tuesday huddle + one working session per job. No shadow Jacobs staff meeting on the WO.</w:t>
            </w:r>
          </w:p>
        </w:tc>
      </w:tr>
    </w:tbl>
    <w:p>
      <w:pPr>
        <w:spacing w:after="80"/>
      </w:pPr>
    </w:p>
    <w:p>
      <w:pPr>
        <w:pStyle w:val="Heading1"/>
        <w:pBdr>
          <w:bottom w:val="single" w:color="C4A35A" w:sz="12" w:space="1"/>
        </w:pBdr>
        <w:spacing w:after="140" w:before="280"/>
      </w:pPr>
      <w:r>
        <w:rPr>
          <w:rFonts w:ascii="Arial" w:cs="Arial" w:eastAsia="Arial" w:hAnsi="Arial"/>
          <w:b/>
          <w:bCs/>
          <w:color w:val="1B365D"/>
          <w:sz w:val="28"/>
          <w:szCs w:val="28"/>
        </w:rPr>
        <w:t xml:space="preserve">13. Direction to Jacobs — send this week</w:t>
      </w:r>
    </w:p>
    <w:p>
      <w:pPr>
        <w:spacing w:after="120" w:before="0" w:line="276"/>
        <w:jc w:val="left"/>
      </w:pPr>
      <w:r>
        <w:rPr>
          <w:rFonts w:ascii="Arial" w:cs="Arial" w:eastAsia="Arial" w:hAnsi="Arial"/>
          <w:b w:val="false"/>
          <w:bCs w:val="false"/>
          <w:i w:val="false"/>
          <w:iCs w:val="false"/>
          <w:color w:val="222222"/>
          <w:sz w:val="20"/>
          <w:szCs w:val="20"/>
        </w:rPr>
        <w:t xml:space="preserve">Use the following as the body of the Company letter. Do not soften it in the cover email.</w:t>
      </w:r>
    </w:p>
    <w:p>
      <w:pPr>
        <w:spacing w:after="200" w:before="0" w:line="276"/>
        <w:jc w:val="left"/>
      </w:pPr>
      <w:r>
        <w:rPr>
          <w:rFonts w:ascii="Arial" w:cs="Arial" w:eastAsia="Arial" w:hAnsi="Arial"/>
          <w:b w:val="false"/>
          <w:bCs w:val="false"/>
          <w:i/>
          <w:iCs/>
          <w:color w:val="222222"/>
          <w:sz w:val="20"/>
          <w:szCs w:val="20"/>
        </w:rPr>
        <w:t xml:space="preserve">Effective 30 September 2026, Jacobs shall stop all billing to Maya and Whiptail. Effective 1 October 2026, Jacobs shall bill Hare, Tonto, Ranger, and Windmill only through the authorized functions of one PM, one PMA, one scheduler, accounting support as requested by Company, and named owner’s-engineering reviewers. Provide by 3 October 2026: (1) named incumbents for each seat on each live job, (2) a list of every person who charged any of the six jobs from July through September 2026 with hours, classification, and work order, and (3) written acknowledgement that any person not on the authorized roster or a Company-signed surge form is unauthorized. Company will hold invoices that do not meet the eight-line invoice test published in the 30 September action plan. Meeting attendance is not a timesheet code. Onboarding is not a timesheet code. A deferred job is not a timesheet code.</w:t>
      </w:r>
    </w:p>
    <w:p>
      <w:pPr>
        <w:pStyle w:val="Heading1"/>
        <w:pBdr>
          <w:bottom w:val="single" w:color="C4A35A" w:sz="12" w:space="1"/>
        </w:pBdr>
        <w:spacing w:after="140" w:before="280"/>
      </w:pPr>
      <w:r>
        <w:rPr>
          <w:rFonts w:ascii="Arial" w:cs="Arial" w:eastAsia="Arial" w:hAnsi="Arial"/>
          <w:b/>
          <w:bCs/>
          <w:color w:val="1B365D"/>
          <w:sz w:val="28"/>
          <w:szCs w:val="28"/>
        </w:rPr>
        <w:t xml:space="preserve">14. Open items Company still owes</w:t>
      </w:r>
    </w:p>
    <w:p>
      <w:pPr>
        <w:spacing w:after="120" w:before="0" w:line="276"/>
        <w:jc w:val="left"/>
      </w:pPr>
      <w:r>
        <w:rPr>
          <w:rFonts w:ascii="Arial" w:cs="Arial" w:eastAsia="Arial" w:hAnsi="Arial"/>
          <w:b w:val="false"/>
          <w:bCs w:val="false"/>
          <w:i w:val="false"/>
          <w:iCs w:val="false"/>
          <w:color w:val="222222"/>
          <w:sz w:val="20"/>
          <w:szCs w:val="20"/>
        </w:rPr>
        <w:t xml:space="preserve">Jacobs cannot be the only party that has to get clean.</w:t>
      </w:r>
    </w:p>
    <w:p>
      <w:pPr>
        <w:pStyle w:val="ListParagraph"/>
        <w:numPr>
          <w:ilvl w:val="0"/>
          <w:numId w:val="2"/>
        </w:numPr>
        <w:spacing w:after="60" w:line="260"/>
      </w:pPr>
      <w:r>
        <w:rPr>
          <w:rFonts w:ascii="Arial" w:cs="Arial" w:eastAsia="Arial" w:hAnsi="Arial"/>
          <w:color w:val="222222"/>
          <w:sz w:val="20"/>
          <w:szCs w:val="20"/>
        </w:rPr>
        <w:t xml:space="preserve">Fill the Company accounting name and the Jacobs PM / PMA / scheduler names by 3 October.</w:t>
      </w:r>
    </w:p>
    <w:p>
      <w:pPr>
        <w:pStyle w:val="ListParagraph"/>
        <w:numPr>
          <w:ilvl w:val="0"/>
          <w:numId w:val="2"/>
        </w:numPr>
        <w:spacing w:after="60" w:line="260"/>
      </w:pPr>
      <w:r>
        <w:rPr>
          <w:rFonts w:ascii="Arial" w:cs="Arial" w:eastAsia="Arial" w:hAnsi="Arial"/>
          <w:color w:val="222222"/>
          <w:sz w:val="20"/>
          <w:szCs w:val="20"/>
        </w:rPr>
        <w:t xml:space="preserve">Publish the WBS dictionary so invoice coding has one source. Hare typos (A.0002429 vs A.0002439) die here.</w:t>
      </w:r>
    </w:p>
    <w:p>
      <w:pPr>
        <w:pStyle w:val="ListParagraph"/>
        <w:numPr>
          <w:ilvl w:val="0"/>
          <w:numId w:val="2"/>
        </w:numPr>
        <w:spacing w:after="60" w:line="260"/>
      </w:pPr>
      <w:r>
        <w:rPr>
          <w:rFonts w:ascii="Arial" w:cs="Arial" w:eastAsia="Arial" w:hAnsi="Arial"/>
          <w:color w:val="222222"/>
          <w:sz w:val="20"/>
          <w:szCs w:val="20"/>
        </w:rPr>
        <w:t xml:space="preserve">Leadership closes the SharePoint / Procore RFI split already requested. Dual systems manufacture dual coordination hours.</w:t>
      </w:r>
    </w:p>
    <w:p>
      <w:pPr>
        <w:pStyle w:val="ListParagraph"/>
        <w:numPr>
          <w:ilvl w:val="0"/>
          <w:numId w:val="2"/>
        </w:numPr>
        <w:spacing w:after="60" w:line="260"/>
      </w:pPr>
      <w:r>
        <w:rPr>
          <w:rFonts w:ascii="Arial" w:cs="Arial" w:eastAsia="Arial" w:hAnsi="Arial"/>
          <w:color w:val="222222"/>
          <w:sz w:val="20"/>
          <w:szCs w:val="20"/>
        </w:rPr>
        <w:t xml:space="preserve">Keep labor forecasts stamped “do not use” until CP-to-ISD exists. A bad curve will be used as a staffing request if we leave it live.</w:t>
      </w:r>
    </w:p>
    <w:p>
      <w:pPr>
        <w:pStyle w:val="ListParagraph"/>
        <w:numPr>
          <w:ilvl w:val="0"/>
          <w:numId w:val="2"/>
        </w:numPr>
        <w:spacing w:after="60" w:line="260"/>
      </w:pPr>
      <w:r>
        <w:rPr>
          <w:rFonts w:ascii="Arial" w:cs="Arial" w:eastAsia="Arial" w:hAnsi="Arial"/>
          <w:color w:val="222222"/>
          <w:sz w:val="20"/>
          <w:szCs w:val="20"/>
        </w:rPr>
        <w:t xml:space="preserve">Hare land / permit path stays on the Company side of the table (federal nexus no; Quanta authors SWPPP). Do not open a Jacobs environmental time code to relitigate RFI 101.</w:t>
      </w:r>
    </w:p>
    <w:p>
      <w:pPr>
        <w:spacing w:after="80"/>
      </w:pPr>
    </w:p>
    <w:p>
      <w:pPr>
        <w:spacing w:after="40" w:before="0" w:line="276"/>
        <w:jc w:val="left"/>
      </w:pPr>
      <w:r>
        <w:rPr>
          <w:rFonts w:ascii="Arial" w:cs="Arial" w:eastAsia="Arial" w:hAnsi="Arial"/>
          <w:b w:val="false"/>
          <w:bCs w:val="false"/>
          <w:i/>
          <w:iCs/>
          <w:color w:val="222222"/>
          <w:sz w:val="20"/>
          <w:szCs w:val="20"/>
        </w:rPr>
        <w:t xml:space="preserve">Prepared for immediate use. Issue the two letters, hold the invoices, name the five seats. Everything else in this plan is execution of that.</w:t>
      </w:r>
    </w:p>
    <w:p>
      <w:pPr>
        <w:spacing w:after="0" w:before="0" w:line="276"/>
        <w:jc w:val="left"/>
      </w:pPr>
      <w:r>
        <w:rPr>
          <w:rFonts w:ascii="Arial" w:cs="Arial" w:eastAsia="Arial" w:hAnsi="Arial"/>
          <w:b/>
          <w:bCs/>
          <w:i w:val="false"/>
          <w:iCs w:val="false"/>
          <w:color w:val="1B365D"/>
          <w:sz w:val="20"/>
          <w:szCs w:val="20"/>
        </w:rPr>
        <w:t xml:space="preserve">David Schafer  ·  Company Project Lead  ·  30 September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DD6" w:sz="8" w:space="6"/>
      </w:pBdr>
      <w:tabs>
        <w:tab w:val="right" w:pos="9026"/>
      </w:tabs>
    </w:pPr>
    <w:r>
      <w:rPr>
        <w:rFonts w:ascii="Arial" w:cs="Arial" w:eastAsia="Arial" w:hAnsi="Arial"/>
        <w:color w:val="4A4A4A"/>
        <w:sz w:val="16"/>
        <w:szCs w:val="16"/>
      </w:rPr>
      <w:t xml:space="preserve">Hare · Tonto · Ranger · Windmill</w:t>
    </w:r>
    <w:r>
      <w:rPr>
        <w:rFonts w:ascii="Arial" w:cs="Arial" w:eastAsia="Arial" w:hAnsi="Arial"/>
        <w:color w:val="4A4A4A"/>
        <w:sz w:val="16"/>
        <w:szCs w:val="16"/>
      </w:rPr>
      <w:t xml:space="preserve">	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A35A" w:sz="12" w:space="4"/>
      </w:pBdr>
      <w:spacing w:after="80"/>
    </w:pPr>
    <w:r>
      <w:rPr>
        <w:rFonts w:ascii="Arial" w:cs="Arial" w:eastAsia="Arial" w:hAnsi="Arial"/>
        <w:b/>
        <w:bCs/>
        <w:color w:val="1B365D"/>
        <w:sz w:val="16"/>
        <w:szCs w:val="16"/>
      </w:rPr>
      <w:t xml:space="preserve">SPS / Xcel Energy</w:t>
    </w:r>
    <w:r>
      <w:rPr>
        <w:rFonts w:ascii="Arial" w:cs="Arial" w:eastAsia="Arial" w:hAnsi="Arial"/>
        <w:color w:val="4A4A4A"/>
        <w:sz w:val="16"/>
        <w:szCs w:val="16"/>
      </w:rPr>
      <w:t xml:space="preserve">  |  Jacobs Right-Size and Billing Correction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bullet"/>
      <w:lvlText w:val="•"/>
      <w:lvlJc w:val="left"/>
      <w:pPr>
        <w:ind w:left="720" w:hanging="360"/>
      </w:pPr>
    </w:lvl>
  </w:abstractNum>
  <w:abstractNum w:abstractNumId="6"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B365D"/>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1B365D"/>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2026-09-30T23:34:37.712Z</dcterms:created>
  <dcterms:modified xsi:type="dcterms:W3CDTF">2026-09-30T23:34:37.713Z</dcterms:modified>
</cp:coreProperties>
</file>

<file path=docProps/custom.xml><?xml version="1.0" encoding="utf-8"?>
<Properties xmlns="http://schemas.openxmlformats.org/officeDocument/2006/custom-properties" xmlns:vt="http://schemas.openxmlformats.org/officeDocument/2006/docPropsVTypes"/>
</file>