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Felder im Anforderungskatalog: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Eindeutige, fortlaufende Nummer, die für eine Anforderung vergeben wird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Optionale zweite Nummer, die für eine Anforderungsausprägung zu einer Funktion vergeben wird. Die Nummer muss bezogen auf die Funktion eindeutig sein.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Zustand der Anforderung. Es sind folgende Ausprägungen möglich: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reviewed 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reviewed 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umgesetzt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gelöscht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Der genaue Ablauf der Statusänderungen wird in dem unten stehenden Workflow-Diagramm dargestellt.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Gruppe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Übergeordnete Gruppe, welcher eine Reihe von Anforderungen und Anforderungs</w:t>
            </w:r>
            <w:r w:rsidDel="00000000" w:rsidR="00000000" w:rsidRPr="00000000">
              <w:rPr>
                <w:rtl w:val="0"/>
              </w:rPr>
              <w:t xml:space="preserve">ausprägungen</w:t>
            </w:r>
            <w:r w:rsidDel="00000000" w:rsidR="00000000" w:rsidRPr="00000000">
              <w:rPr>
                <w:rtl w:val="0"/>
              </w:rPr>
              <w:t xml:space="preserve"> angehören.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Eindeutiger Name, der die Anforderung bezeichnet.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Beschreibung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Sprachliche Beschreibung der Anforderung im Muster: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“Der/Die/Das ... muss …”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“Der/Die/Das ... darf nicht …”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Priorität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Wichtigkeit der Anforderung in den Ausprägungen: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kritisch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gefordert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Quelle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Herkunft der Anforderung, beispielsweise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Bücher (inkl. Seitenangaben)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Interviewpartner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etc.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@Wendelin: wir wollten noch überlegen, wie wir die Quellen angeben. Vorschlag: zweites Tabellenblatt mit Legende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 desjenigen, der die Funktion in den Anforderungskatalog eingetragen hat. Er ist der Ansprechpartner bei Rückfragen.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Regeln im Umgang mit dem Anforderungskatalog: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Jede Anforderung erhält eine eigene ID. Pro ID dürfen nicht mehrere Funktionen beschrieben sein.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Eine Anforderung wird nie gelöscht, sie erhält den entsprechenden Status.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 ID, welche initial vergeben wird, bleibt bestehen. Dies gilt auch wenn die Anforderung bearbeitet wird oder den Status “gelöscht” erhält.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Jede neu angelegte Anforderung erhält den Status “neu”.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Status “reviewed” wird nach einem doppelten Review und nur durch Wendelin oder Lisa vergeben.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 Gruppe dient als Sortierkriterium und muss deswegen einheitlich benannt werden.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 in den Spalten Name und Beschreibung verwendeten Begrifflichkeiten sollten immer gleich verwendet werden werden.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 Beschreibung der Anforderung wird im Stil “muss” oder “darf nicht” formuliert. Zweiteres sollte nur dann verwendet werden, wenn es unbedingt nötig 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 Beschreibung soll technisch neutral formuliert und nicht auf ein spezifisches Produkt abgestimmt sein.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Workflow Anforderungsstatus: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549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