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14C4E" w14:textId="3FE3236D" w:rsidR="008E43B6" w:rsidRDefault="00A37318" w:rsidP="00EF363F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41052549"/>
      <w:r>
        <w:rPr>
          <w:rFonts w:ascii="Times New Roman" w:hAnsi="Times New Roman" w:cs="Times New Roman"/>
          <w:color w:val="auto"/>
          <w:sz w:val="24"/>
          <w:szCs w:val="24"/>
        </w:rPr>
        <w:t>Глава 1</w:t>
      </w:r>
      <w:r w:rsidR="008E43B6" w:rsidRPr="00E647C4">
        <w:rPr>
          <w:rFonts w:ascii="Times New Roman" w:hAnsi="Times New Roman" w:cs="Times New Roman"/>
          <w:color w:val="auto"/>
          <w:sz w:val="24"/>
          <w:szCs w:val="24"/>
        </w:rPr>
        <w:t>. Взаимодействие профессиональных участников рынка ценных бумаг, осуществляющих брокерскую деятельность, дилерскую деятельность, деятельность по управлению ценными бумагами, с учетно-расчетными и инфраструктурными организациями</w:t>
      </w:r>
      <w:bookmarkEnd w:id="0"/>
    </w:p>
    <w:p w14:paraId="2F893037" w14:textId="77777777" w:rsidR="008E43B6" w:rsidRPr="00E647C4" w:rsidRDefault="008E43B6" w:rsidP="00EF363F">
      <w:pPr>
        <w:spacing w:after="0" w:line="23" w:lineRule="atLeast"/>
      </w:pPr>
    </w:p>
    <w:p w14:paraId="3D0B8CB1" w14:textId="109B4864" w:rsidR="008E43B6" w:rsidRPr="00E647C4" w:rsidRDefault="00A37318" w:rsidP="00E24608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Темы 1.1-1.2 </w:t>
      </w:r>
      <w:r w:rsidR="00D972CE">
        <w:rPr>
          <w:rFonts w:ascii="Times New Roman" w:hAnsi="Times New Roman" w:cs="Times New Roman"/>
          <w:color w:val="auto"/>
          <w:sz w:val="24"/>
          <w:szCs w:val="24"/>
        </w:rPr>
        <w:t>Взаимодействие с биржей, с клиринговой организацией</w:t>
      </w:r>
    </w:p>
    <w:p w14:paraId="12DF71A6" w14:textId="77777777" w:rsidR="00507328" w:rsidRDefault="00507328" w:rsidP="00E24608">
      <w:pPr>
        <w:spacing w:after="0" w:line="23" w:lineRule="atLeast"/>
        <w:jc w:val="both"/>
      </w:pPr>
    </w:p>
    <w:p w14:paraId="1105CB2A" w14:textId="5F1CE537" w:rsidR="00B65142" w:rsidRPr="00B65142" w:rsidRDefault="00B65142" w:rsidP="00E24608">
      <w:pPr>
        <w:spacing w:after="0" w:line="23" w:lineRule="atLeast"/>
        <w:jc w:val="both"/>
        <w:rPr>
          <w:b/>
        </w:rPr>
      </w:pPr>
      <w:r w:rsidRPr="00B65142">
        <w:rPr>
          <w:b/>
        </w:rPr>
        <w:t>Организованные торги</w:t>
      </w:r>
    </w:p>
    <w:p w14:paraId="264FD14B" w14:textId="77777777" w:rsidR="00B65142" w:rsidRDefault="00B65142" w:rsidP="00E24608">
      <w:pPr>
        <w:spacing w:after="0" w:line="23" w:lineRule="atLeast"/>
        <w:jc w:val="both"/>
      </w:pPr>
    </w:p>
    <w:p w14:paraId="4C07DF8C" w14:textId="77777777" w:rsidR="00EF363F" w:rsidRPr="00E647C4" w:rsidRDefault="00EF363F" w:rsidP="00E24608">
      <w:pPr>
        <w:spacing w:after="0" w:line="23" w:lineRule="atLeast"/>
        <w:jc w:val="both"/>
        <w:rPr>
          <w:rFonts w:cs="Times New Roman"/>
        </w:rPr>
      </w:pPr>
      <w:r w:rsidRPr="00E647C4">
        <w:rPr>
          <w:rFonts w:cs="Times New Roman"/>
        </w:rPr>
        <w:t>В соответствии с законодательством Российской Федерации об организованных торгах к участию в организованных торгах ценными бумагами могут быть допущены:</w:t>
      </w:r>
    </w:p>
    <w:p w14:paraId="6517D839" w14:textId="77777777" w:rsidR="00EF363F" w:rsidRPr="00B629F8" w:rsidRDefault="00EF363F" w:rsidP="00E24608">
      <w:pPr>
        <w:pStyle w:val="a9"/>
        <w:numPr>
          <w:ilvl w:val="0"/>
          <w:numId w:val="1"/>
        </w:num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П</w:t>
      </w:r>
      <w:r w:rsidRPr="00B629F8">
        <w:rPr>
          <w:rFonts w:cs="Times New Roman"/>
        </w:rPr>
        <w:t>рофессиональные участники рынка ценных бумаг, осуществляющие брокерскую и (или) дилерскую деятельность, и (или) деятельность по управлению ценными бумагами;</w:t>
      </w:r>
    </w:p>
    <w:p w14:paraId="5ECEDECB" w14:textId="77777777" w:rsidR="00EF363F" w:rsidRPr="00B629F8" w:rsidRDefault="00EF363F" w:rsidP="00E24608">
      <w:pPr>
        <w:pStyle w:val="a9"/>
        <w:numPr>
          <w:ilvl w:val="0"/>
          <w:numId w:val="1"/>
        </w:num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У</w:t>
      </w:r>
      <w:r w:rsidRPr="00B629F8">
        <w:rPr>
          <w:rFonts w:cs="Times New Roman"/>
        </w:rPr>
        <w:t>правляющие компании инвестиционных фондов, паевых инвестиционных фондов, негосударственных пенсионных фондов;</w:t>
      </w:r>
    </w:p>
    <w:p w14:paraId="4145F4A7" w14:textId="77777777" w:rsidR="00EF363F" w:rsidRPr="00B629F8" w:rsidRDefault="00EF363F" w:rsidP="00E24608">
      <w:pPr>
        <w:pStyle w:val="a9"/>
        <w:numPr>
          <w:ilvl w:val="0"/>
          <w:numId w:val="1"/>
        </w:numPr>
        <w:spacing w:after="0" w:line="23" w:lineRule="atLeast"/>
        <w:jc w:val="both"/>
        <w:rPr>
          <w:rFonts w:cs="Times New Roman"/>
        </w:rPr>
      </w:pPr>
      <w:r w:rsidRPr="00B629F8">
        <w:rPr>
          <w:rFonts w:cs="Times New Roman"/>
        </w:rPr>
        <w:t>Банк России;</w:t>
      </w:r>
    </w:p>
    <w:p w14:paraId="33C77B84" w14:textId="77777777" w:rsidR="00EF363F" w:rsidRPr="00B629F8" w:rsidRDefault="00EF363F" w:rsidP="00E24608">
      <w:pPr>
        <w:pStyle w:val="a9"/>
        <w:numPr>
          <w:ilvl w:val="0"/>
          <w:numId w:val="1"/>
        </w:num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Ц</w:t>
      </w:r>
      <w:r w:rsidRPr="00B629F8">
        <w:rPr>
          <w:rFonts w:cs="Times New Roman"/>
        </w:rPr>
        <w:t>ентральный контрагент.</w:t>
      </w:r>
    </w:p>
    <w:p w14:paraId="7F212C8D" w14:textId="77777777" w:rsidR="008E43B6" w:rsidRDefault="008E43B6" w:rsidP="00E24608">
      <w:pPr>
        <w:spacing w:after="0" w:line="23" w:lineRule="atLeast"/>
        <w:jc w:val="both"/>
      </w:pPr>
    </w:p>
    <w:p w14:paraId="283DC826" w14:textId="77777777" w:rsidR="00507328" w:rsidRPr="00EF363F" w:rsidRDefault="00507328" w:rsidP="00E24608">
      <w:pPr>
        <w:spacing w:after="0" w:line="23" w:lineRule="atLeast"/>
        <w:jc w:val="both"/>
        <w:rPr>
          <w:rFonts w:cs="Times New Roman"/>
        </w:rPr>
      </w:pPr>
    </w:p>
    <w:p w14:paraId="440D1FFA" w14:textId="77777777" w:rsidR="00EF363F" w:rsidRPr="00E647C4" w:rsidRDefault="00EF363F" w:rsidP="00E24608">
      <w:pPr>
        <w:spacing w:after="0" w:line="23" w:lineRule="atLeast"/>
        <w:jc w:val="both"/>
        <w:rPr>
          <w:rFonts w:cs="Times New Roman"/>
        </w:rPr>
      </w:pPr>
      <w:r w:rsidRPr="00E647C4">
        <w:rPr>
          <w:rFonts w:cs="Times New Roman"/>
        </w:rPr>
        <w:t>В соответствии с законодательством Российской Федерации об организованных торгах правила организованных торгов должны содержать:</w:t>
      </w:r>
    </w:p>
    <w:p w14:paraId="46908B91" w14:textId="77777777" w:rsidR="00EF363F" w:rsidRPr="005C3324" w:rsidRDefault="00EF363F" w:rsidP="00E24608">
      <w:pPr>
        <w:pStyle w:val="a9"/>
        <w:numPr>
          <w:ilvl w:val="0"/>
          <w:numId w:val="2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порядок и условия подачи заявок;</w:t>
      </w:r>
    </w:p>
    <w:p w14:paraId="32471A09" w14:textId="77777777" w:rsidR="00EF363F" w:rsidRPr="005C3324" w:rsidRDefault="00EF363F" w:rsidP="00E24608">
      <w:pPr>
        <w:pStyle w:val="a9"/>
        <w:numPr>
          <w:ilvl w:val="0"/>
          <w:numId w:val="2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порядок установления соответствия заявок друг другу, включая признаки, по которым это соответствие определяется, и порядок фиксации такого соответствия;</w:t>
      </w:r>
    </w:p>
    <w:p w14:paraId="6CBE955F" w14:textId="77777777" w:rsidR="00EF363F" w:rsidRPr="005C3324" w:rsidRDefault="00EF363F" w:rsidP="00E24608">
      <w:pPr>
        <w:pStyle w:val="a9"/>
        <w:numPr>
          <w:ilvl w:val="0"/>
          <w:numId w:val="2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указание последствий подачи заявок с нарушением правил организованных торгов, в том числе в результате сбоев и (или) ошибок программно-технических средств, сбоев в работе информационно-коммуникационных средств связи, с помощью которых обеспечивается проведение организованных торгов.</w:t>
      </w:r>
    </w:p>
    <w:p w14:paraId="7792567E" w14:textId="77777777" w:rsidR="00EF363F" w:rsidRDefault="00EF363F" w:rsidP="00E24608">
      <w:pPr>
        <w:spacing w:after="0" w:line="23" w:lineRule="atLeast"/>
        <w:jc w:val="both"/>
      </w:pPr>
    </w:p>
    <w:p w14:paraId="1039B644" w14:textId="77777777" w:rsidR="002A39C4" w:rsidRPr="00E647C4" w:rsidRDefault="002A39C4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В</w:t>
      </w:r>
      <w:r w:rsidRPr="00E647C4">
        <w:rPr>
          <w:rFonts w:cs="Times New Roman"/>
        </w:rPr>
        <w:t>ерные утверждения в отношении договора об оказании услуг по проведению организованных торгов:</w:t>
      </w:r>
    </w:p>
    <w:p w14:paraId="11121AD5" w14:textId="77777777" w:rsidR="002A39C4" w:rsidRPr="00BB606F" w:rsidRDefault="002A39C4" w:rsidP="00E24608">
      <w:pPr>
        <w:pStyle w:val="a9"/>
        <w:numPr>
          <w:ilvl w:val="0"/>
          <w:numId w:val="5"/>
        </w:numPr>
        <w:spacing w:after="0" w:line="23" w:lineRule="atLeast"/>
        <w:jc w:val="both"/>
        <w:rPr>
          <w:rFonts w:cs="Times New Roman"/>
        </w:rPr>
      </w:pPr>
      <w:r w:rsidRPr="00BB606F">
        <w:rPr>
          <w:rFonts w:cs="Times New Roman"/>
        </w:rPr>
        <w:t>по договору об оказании услуг по проведению организованных торгов организатор торговли обязуется в соответствии с правилами торгов регулярно (систематически) оказывать услуги по проведению организованных торгов, а участники торгов обязуются оплачивать указанные услуги;</w:t>
      </w:r>
    </w:p>
    <w:p w14:paraId="47644F05" w14:textId="5E059CE9" w:rsidR="002A39C4" w:rsidRPr="00DD7689" w:rsidRDefault="002A39C4" w:rsidP="00E24608">
      <w:pPr>
        <w:pStyle w:val="a9"/>
        <w:numPr>
          <w:ilvl w:val="0"/>
          <w:numId w:val="5"/>
        </w:numPr>
        <w:spacing w:after="0" w:line="23" w:lineRule="atLeast"/>
        <w:jc w:val="both"/>
        <w:rPr>
          <w:rFonts w:cs="Times New Roman"/>
        </w:rPr>
      </w:pPr>
      <w:r w:rsidRPr="00BB606F">
        <w:rPr>
          <w:rFonts w:cs="Times New Roman"/>
        </w:rPr>
        <w:t>заключение договора об оказании услуг по проведению организованных торгов осуществляется путем присоединения к указанному договору, условия которого предусмотрены правилами организованных торгов;</w:t>
      </w:r>
    </w:p>
    <w:p w14:paraId="7E37C622" w14:textId="77777777" w:rsidR="002A39C4" w:rsidRDefault="002A39C4" w:rsidP="00E24608">
      <w:pPr>
        <w:spacing w:after="0" w:line="23" w:lineRule="atLeast"/>
        <w:jc w:val="both"/>
      </w:pPr>
    </w:p>
    <w:p w14:paraId="7A548634" w14:textId="7A4417EF" w:rsidR="00710A09" w:rsidRPr="00E647C4" w:rsidRDefault="00710A09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У</w:t>
      </w:r>
      <w:r w:rsidRPr="00E647C4">
        <w:rPr>
          <w:rFonts w:cs="Times New Roman"/>
        </w:rPr>
        <w:t>словия договора, заключаемого на организованных торгах</w:t>
      </w:r>
      <w:r w:rsidR="00A37318">
        <w:rPr>
          <w:rFonts w:cs="Times New Roman"/>
        </w:rPr>
        <w:t>,</w:t>
      </w:r>
      <w:r>
        <w:rPr>
          <w:rFonts w:cs="Times New Roman"/>
        </w:rPr>
        <w:t xml:space="preserve"> содержатся</w:t>
      </w:r>
      <w:r w:rsidRPr="00E647C4">
        <w:rPr>
          <w:rFonts w:cs="Times New Roman"/>
        </w:rPr>
        <w:t>:</w:t>
      </w:r>
    </w:p>
    <w:p w14:paraId="17AD702E" w14:textId="77777777" w:rsidR="00710A09" w:rsidRPr="005C3324" w:rsidRDefault="00710A09" w:rsidP="00E24608">
      <w:pPr>
        <w:pStyle w:val="a9"/>
        <w:numPr>
          <w:ilvl w:val="0"/>
          <w:numId w:val="4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в заявках</w:t>
      </w:r>
    </w:p>
    <w:p w14:paraId="73B54EC7" w14:textId="77777777" w:rsidR="00710A09" w:rsidRPr="005C3324" w:rsidRDefault="00710A09" w:rsidP="00E24608">
      <w:pPr>
        <w:pStyle w:val="a9"/>
        <w:numPr>
          <w:ilvl w:val="0"/>
          <w:numId w:val="4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в спецификациях договоров</w:t>
      </w:r>
    </w:p>
    <w:p w14:paraId="0D9C1FBB" w14:textId="77777777" w:rsidR="00710A09" w:rsidRPr="005C3324" w:rsidRDefault="00710A09" w:rsidP="00E24608">
      <w:pPr>
        <w:pStyle w:val="a9"/>
        <w:numPr>
          <w:ilvl w:val="0"/>
          <w:numId w:val="4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в правилах организованных торгов</w:t>
      </w:r>
    </w:p>
    <w:p w14:paraId="397A1117" w14:textId="77777777" w:rsidR="00710A09" w:rsidRPr="005C3324" w:rsidRDefault="00710A09" w:rsidP="00E24608">
      <w:pPr>
        <w:pStyle w:val="a9"/>
        <w:numPr>
          <w:ilvl w:val="0"/>
          <w:numId w:val="4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в правилах клиринга клиринговой организации</w:t>
      </w:r>
    </w:p>
    <w:p w14:paraId="1AEE7620" w14:textId="77777777" w:rsidR="00710A09" w:rsidRDefault="00710A09" w:rsidP="00E24608">
      <w:pPr>
        <w:spacing w:after="0" w:line="23" w:lineRule="atLeast"/>
        <w:jc w:val="both"/>
      </w:pPr>
    </w:p>
    <w:p w14:paraId="555BE44F" w14:textId="77777777" w:rsidR="00EF363F" w:rsidRPr="00E647C4" w:rsidRDefault="00EF363F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Д</w:t>
      </w:r>
      <w:r w:rsidRPr="00E647C4">
        <w:rPr>
          <w:rFonts w:cs="Times New Roman"/>
        </w:rPr>
        <w:t xml:space="preserve">оговор на организованных торгах заключается на основании двух зарегистрированных разнонаправленных заявок, полное или частичное соответствие которых друг другу установлено и зафиксировано в реестре договоров организатором торговли в порядке, определенном правилами организованных торгов; </w:t>
      </w:r>
    </w:p>
    <w:p w14:paraId="41528703" w14:textId="77777777" w:rsidR="00EF363F" w:rsidRDefault="00EF363F" w:rsidP="00E24608">
      <w:pPr>
        <w:spacing w:after="0" w:line="23" w:lineRule="atLeast"/>
        <w:jc w:val="both"/>
        <w:rPr>
          <w:rFonts w:cs="Times New Roman"/>
        </w:rPr>
      </w:pPr>
    </w:p>
    <w:p w14:paraId="16124F8A" w14:textId="77777777" w:rsidR="00EF363F" w:rsidRPr="00E647C4" w:rsidRDefault="00EF363F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Момент</w:t>
      </w:r>
      <w:r w:rsidRPr="00E647C4">
        <w:rPr>
          <w:rFonts w:cs="Times New Roman"/>
        </w:rPr>
        <w:t>, с которого договор на организованн</w:t>
      </w:r>
      <w:r>
        <w:rPr>
          <w:rFonts w:cs="Times New Roman"/>
        </w:rPr>
        <w:t xml:space="preserve">ых торгах считается заключенным - </w:t>
      </w:r>
      <w:r w:rsidRPr="00E647C4">
        <w:rPr>
          <w:rFonts w:cs="Times New Roman"/>
        </w:rPr>
        <w:t>момент фиксации организатором торговли соответствия разнонаправленных заявок друг другу путем внесения записи о заключении соответствующего договора в реестр договоров.</w:t>
      </w:r>
    </w:p>
    <w:p w14:paraId="36874952" w14:textId="77777777" w:rsidR="00EF363F" w:rsidRDefault="00EF363F" w:rsidP="00E24608">
      <w:pPr>
        <w:spacing w:after="0" w:line="23" w:lineRule="atLeast"/>
        <w:jc w:val="both"/>
      </w:pPr>
    </w:p>
    <w:p w14:paraId="38A0ED30" w14:textId="77777777" w:rsidR="00EF363F" w:rsidRPr="00E647C4" w:rsidRDefault="00EF363F" w:rsidP="00E24608">
      <w:pPr>
        <w:spacing w:after="0" w:line="23" w:lineRule="atLeast"/>
        <w:jc w:val="both"/>
        <w:rPr>
          <w:rFonts w:cs="Times New Roman"/>
        </w:rPr>
      </w:pPr>
      <w:r w:rsidRPr="00E647C4">
        <w:rPr>
          <w:rFonts w:cs="Times New Roman"/>
        </w:rPr>
        <w:t>Если это установлено правилами организованных торгов, при подаче заявок на организованных торгах могут использоваться:</w:t>
      </w:r>
    </w:p>
    <w:p w14:paraId="10B82E8B" w14:textId="77777777" w:rsidR="00EF363F" w:rsidRPr="005C3324" w:rsidRDefault="00EF363F" w:rsidP="00E24608">
      <w:pPr>
        <w:pStyle w:val="a9"/>
        <w:numPr>
          <w:ilvl w:val="0"/>
          <w:numId w:val="3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lastRenderedPageBreak/>
        <w:t>аналоги собственноручной подписи,</w:t>
      </w:r>
    </w:p>
    <w:p w14:paraId="04DE57C0" w14:textId="77777777" w:rsidR="00EF363F" w:rsidRPr="005C3324" w:rsidRDefault="00EF363F" w:rsidP="00E24608">
      <w:pPr>
        <w:pStyle w:val="a9"/>
        <w:numPr>
          <w:ilvl w:val="0"/>
          <w:numId w:val="3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электронные подписи,</w:t>
      </w:r>
    </w:p>
    <w:p w14:paraId="30517C12" w14:textId="5B4E286D" w:rsidR="00EF363F" w:rsidRPr="00EF363F" w:rsidRDefault="00EF363F" w:rsidP="00E24608">
      <w:pPr>
        <w:pStyle w:val="a9"/>
        <w:numPr>
          <w:ilvl w:val="0"/>
          <w:numId w:val="3"/>
        </w:numPr>
        <w:spacing w:after="0" w:line="23" w:lineRule="atLeast"/>
        <w:jc w:val="both"/>
        <w:rPr>
          <w:rFonts w:cs="Times New Roman"/>
        </w:rPr>
      </w:pPr>
      <w:r w:rsidRPr="005C3324">
        <w:rPr>
          <w:rFonts w:cs="Times New Roman"/>
        </w:rPr>
        <w:t>пароли,</w:t>
      </w:r>
    </w:p>
    <w:p w14:paraId="5782259E" w14:textId="77777777" w:rsidR="00EF363F" w:rsidRDefault="00EF363F" w:rsidP="00E24608">
      <w:pPr>
        <w:spacing w:after="0" w:line="23" w:lineRule="atLeast"/>
        <w:jc w:val="both"/>
      </w:pPr>
    </w:p>
    <w:p w14:paraId="38792F6C" w14:textId="77777777" w:rsidR="00DD7689" w:rsidRPr="00E647C4" w:rsidRDefault="00DD7689" w:rsidP="00E24608">
      <w:pPr>
        <w:spacing w:after="0" w:line="23" w:lineRule="atLeast"/>
        <w:jc w:val="both"/>
        <w:rPr>
          <w:rFonts w:cs="Times New Roman"/>
        </w:rPr>
      </w:pPr>
      <w:r w:rsidRPr="00E647C4">
        <w:rPr>
          <w:rFonts w:cs="Times New Roman"/>
        </w:rPr>
        <w:t>В соответствии с законодательством Российской Федерации об организова</w:t>
      </w:r>
      <w:r>
        <w:rPr>
          <w:rFonts w:cs="Times New Roman"/>
        </w:rPr>
        <w:t>нных торгах маркет-мейкер - это</w:t>
      </w:r>
      <w:r w:rsidRPr="00E647C4">
        <w:rPr>
          <w:rFonts w:cs="Times New Roman"/>
        </w:rPr>
        <w:t xml:space="preserve"> участник торгов, который на основании договора, одной из сторон которого является организатор торговли, принимает на себя обязательства по поддержанию цен, спроса, предложения и (или) объема торгов финансовыми инструментами, иностранной валютой и (или) товаром на условиях, установленных таким договором;</w:t>
      </w:r>
    </w:p>
    <w:p w14:paraId="18617D86" w14:textId="77777777" w:rsidR="00DD7689" w:rsidRDefault="00DD7689" w:rsidP="00E24608">
      <w:pPr>
        <w:spacing w:after="0" w:line="23" w:lineRule="atLeast"/>
        <w:jc w:val="both"/>
      </w:pPr>
    </w:p>
    <w:p w14:paraId="2DBA3303" w14:textId="77777777" w:rsidR="00DD7689" w:rsidRPr="00E647C4" w:rsidRDefault="00DD7689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М</w:t>
      </w:r>
      <w:r w:rsidRPr="00E647C4">
        <w:rPr>
          <w:rFonts w:cs="Times New Roman"/>
        </w:rPr>
        <w:t>аркет-мейкер осуществляет поддержание цены на финансовый инструмент, и</w:t>
      </w:r>
      <w:r>
        <w:rPr>
          <w:rFonts w:cs="Times New Roman"/>
        </w:rPr>
        <w:t xml:space="preserve">ностранную валюту и (или) товар </w:t>
      </w:r>
      <w:r w:rsidRPr="00E647C4">
        <w:rPr>
          <w:rFonts w:cs="Times New Roman"/>
        </w:rPr>
        <w:t xml:space="preserve">путем подачи и одновременном поддержании заявок на покупку и на продажу в отношении соответствующего финансового инструмента, иностранной валюты и (или) товара в ходе торговой сессии; </w:t>
      </w:r>
    </w:p>
    <w:p w14:paraId="04D9AC78" w14:textId="77777777" w:rsidR="00DD7689" w:rsidRDefault="00DD7689" w:rsidP="00E24608">
      <w:pPr>
        <w:spacing w:after="0" w:line="23" w:lineRule="atLeast"/>
        <w:jc w:val="both"/>
      </w:pPr>
    </w:p>
    <w:p w14:paraId="1A1658FB" w14:textId="77777777" w:rsidR="00DD7689" w:rsidRPr="00E647C4" w:rsidRDefault="00DD7689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В</w:t>
      </w:r>
      <w:r w:rsidRPr="00E647C4">
        <w:rPr>
          <w:rFonts w:cs="Times New Roman"/>
        </w:rPr>
        <w:t xml:space="preserve"> соответствии с законодательством Российской Федерации об организованных торгах должн</w:t>
      </w:r>
      <w:r>
        <w:rPr>
          <w:rFonts w:cs="Times New Roman"/>
        </w:rPr>
        <w:t>ы быть определены</w:t>
      </w:r>
      <w:r w:rsidRPr="00E647C4">
        <w:rPr>
          <w:rFonts w:cs="Times New Roman"/>
        </w:rPr>
        <w:t xml:space="preserve"> в правилах организованных торгов (если выполнение функций и обязанностей маркет-мейкерами предусмотрено такими п</w:t>
      </w:r>
      <w:r>
        <w:rPr>
          <w:rFonts w:cs="Times New Roman"/>
        </w:rPr>
        <w:t xml:space="preserve">равилами организованных торгов) - </w:t>
      </w:r>
      <w:r w:rsidRPr="00E647C4">
        <w:rPr>
          <w:rFonts w:cs="Times New Roman"/>
        </w:rPr>
        <w:t>требования к маркет-мейкерам и порядку осуществления ими своих функций и обязанностей</w:t>
      </w:r>
    </w:p>
    <w:p w14:paraId="5C268596" w14:textId="77777777" w:rsidR="00DD7689" w:rsidRDefault="00DD7689" w:rsidP="00E24608">
      <w:pPr>
        <w:spacing w:after="0" w:line="23" w:lineRule="atLeast"/>
        <w:jc w:val="both"/>
        <w:rPr>
          <w:rFonts w:cs="Times New Roman"/>
        </w:rPr>
      </w:pPr>
    </w:p>
    <w:p w14:paraId="4FD5ABE0" w14:textId="77777777" w:rsidR="00DD7689" w:rsidRPr="00E647C4" w:rsidRDefault="00DD7689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В</w:t>
      </w:r>
      <w:r w:rsidRPr="00E647C4">
        <w:rPr>
          <w:rFonts w:cs="Times New Roman"/>
        </w:rPr>
        <w:t>ерные утверждения в отношении деятельности маркет-мейкера:</w:t>
      </w:r>
    </w:p>
    <w:p w14:paraId="532F9A66" w14:textId="77777777" w:rsidR="00DD7689" w:rsidRPr="00695F8E" w:rsidRDefault="00DD7689" w:rsidP="00E24608">
      <w:pPr>
        <w:pStyle w:val="a9"/>
        <w:numPr>
          <w:ilvl w:val="0"/>
          <w:numId w:val="7"/>
        </w:numPr>
        <w:spacing w:after="0" w:line="23" w:lineRule="atLeast"/>
        <w:jc w:val="both"/>
        <w:rPr>
          <w:rFonts w:cs="Times New Roman"/>
        </w:rPr>
      </w:pPr>
      <w:r w:rsidRPr="00695F8E">
        <w:rPr>
          <w:rFonts w:cs="Times New Roman"/>
        </w:rPr>
        <w:t>маркет-мейкер освобождается от обязанности по поддержанию цен, спроса, предложения или объема торгов финансовым инструментом, иностранной валютой и (или) товаром, если объем сделок, заключенных на основании поданных им заявок, достигнет размера максимального объема сделок маркет-мейкера, определенного организатором торговли для этого финансового инструмента, иностранной валюты и (или) товара;</w:t>
      </w:r>
    </w:p>
    <w:p w14:paraId="644315B7" w14:textId="77777777" w:rsidR="00DD7689" w:rsidRPr="00695F8E" w:rsidRDefault="00DD7689" w:rsidP="00E24608">
      <w:pPr>
        <w:pStyle w:val="a9"/>
        <w:numPr>
          <w:ilvl w:val="0"/>
          <w:numId w:val="7"/>
        </w:numPr>
        <w:spacing w:after="0" w:line="23" w:lineRule="atLeast"/>
        <w:jc w:val="both"/>
        <w:rPr>
          <w:rFonts w:cs="Times New Roman"/>
        </w:rPr>
      </w:pPr>
      <w:r w:rsidRPr="00695F8E">
        <w:rPr>
          <w:rFonts w:cs="Times New Roman"/>
        </w:rPr>
        <w:t>требования к маркет-мейкерам, в том числе к их финансовому положению, устанавливаются организатором торговли</w:t>
      </w:r>
    </w:p>
    <w:p w14:paraId="7CA50570" w14:textId="66DDA2E0" w:rsidR="00DD7689" w:rsidRPr="00695F8E" w:rsidRDefault="00DD7689" w:rsidP="00E24608">
      <w:pPr>
        <w:pStyle w:val="a9"/>
        <w:numPr>
          <w:ilvl w:val="0"/>
          <w:numId w:val="7"/>
        </w:numPr>
        <w:spacing w:after="0" w:line="23" w:lineRule="atLeast"/>
        <w:jc w:val="both"/>
        <w:rPr>
          <w:rFonts w:cs="Times New Roman"/>
        </w:rPr>
      </w:pPr>
      <w:r w:rsidRPr="00695F8E">
        <w:rPr>
          <w:rFonts w:cs="Times New Roman"/>
        </w:rPr>
        <w:t xml:space="preserve">организатор торговли осуществляет ежедневный контроль </w:t>
      </w:r>
      <w:r w:rsidR="00C67E9E">
        <w:rPr>
          <w:rFonts w:cs="Times New Roman"/>
        </w:rPr>
        <w:t>деятельности</w:t>
      </w:r>
      <w:r w:rsidRPr="00695F8E">
        <w:rPr>
          <w:rFonts w:cs="Times New Roman"/>
        </w:rPr>
        <w:t xml:space="preserve"> маркет-мейкеров по соблюдению ими обязательных требований, установленных организатором торговли </w:t>
      </w:r>
    </w:p>
    <w:p w14:paraId="61CE9278" w14:textId="77777777" w:rsidR="00DD7689" w:rsidRDefault="00DD7689" w:rsidP="00E24608">
      <w:pPr>
        <w:spacing w:after="0" w:line="23" w:lineRule="atLeast"/>
        <w:jc w:val="both"/>
        <w:rPr>
          <w:rFonts w:cs="Times New Roman"/>
        </w:rPr>
      </w:pPr>
    </w:p>
    <w:p w14:paraId="01E182DC" w14:textId="77777777" w:rsidR="005A6E58" w:rsidRPr="00E647C4" w:rsidRDefault="005A6E58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Т</w:t>
      </w:r>
      <w:r w:rsidRPr="00E647C4">
        <w:rPr>
          <w:rFonts w:cs="Times New Roman"/>
        </w:rPr>
        <w:t>ребования о предоставлении на биржу информации о внебиржевых сделках с ценными бумагами</w:t>
      </w:r>
      <w:r>
        <w:rPr>
          <w:rFonts w:cs="Times New Roman"/>
        </w:rPr>
        <w:t xml:space="preserve"> распространяются на</w:t>
      </w:r>
      <w:r w:rsidRPr="00E647C4">
        <w:rPr>
          <w:rFonts w:cs="Times New Roman"/>
        </w:rPr>
        <w:t>:</w:t>
      </w:r>
    </w:p>
    <w:p w14:paraId="4365D391" w14:textId="77777777" w:rsidR="005A6E58" w:rsidRPr="00C65227" w:rsidRDefault="005A6E58" w:rsidP="00E24608">
      <w:pPr>
        <w:pStyle w:val="a9"/>
        <w:numPr>
          <w:ilvl w:val="0"/>
          <w:numId w:val="19"/>
        </w:numPr>
        <w:spacing w:after="0" w:line="23" w:lineRule="atLeast"/>
        <w:jc w:val="both"/>
        <w:rPr>
          <w:rFonts w:cs="Times New Roman"/>
        </w:rPr>
      </w:pPr>
      <w:r w:rsidRPr="00C65227">
        <w:rPr>
          <w:rFonts w:cs="Times New Roman"/>
        </w:rPr>
        <w:t>профессиональные участники рынка ценных бумаг, осуществляющие брокерскую и (или) дилерскую деятельность, и (или) деятельность по управлению ценными бумагами;</w:t>
      </w:r>
    </w:p>
    <w:p w14:paraId="34722A82" w14:textId="77777777" w:rsidR="005A6E58" w:rsidRPr="00C65227" w:rsidRDefault="005A6E58" w:rsidP="00E24608">
      <w:pPr>
        <w:pStyle w:val="a9"/>
        <w:numPr>
          <w:ilvl w:val="0"/>
          <w:numId w:val="19"/>
        </w:numPr>
        <w:spacing w:after="0" w:line="23" w:lineRule="atLeast"/>
        <w:jc w:val="both"/>
        <w:rPr>
          <w:rFonts w:cs="Times New Roman"/>
        </w:rPr>
      </w:pPr>
      <w:r w:rsidRPr="00C65227">
        <w:rPr>
          <w:rFonts w:cs="Times New Roman"/>
        </w:rPr>
        <w:t>управляющие компании паевых инвестиционных фондов и негосударственных пенсионных фондов;</w:t>
      </w:r>
    </w:p>
    <w:p w14:paraId="1AD59CFD" w14:textId="77777777" w:rsidR="005A6E58" w:rsidRPr="00C65227" w:rsidRDefault="005A6E58" w:rsidP="00E24608">
      <w:pPr>
        <w:pStyle w:val="a9"/>
        <w:numPr>
          <w:ilvl w:val="0"/>
          <w:numId w:val="19"/>
        </w:numPr>
        <w:spacing w:after="0" w:line="23" w:lineRule="atLeast"/>
        <w:jc w:val="both"/>
        <w:rPr>
          <w:rFonts w:cs="Times New Roman"/>
        </w:rPr>
      </w:pPr>
      <w:r w:rsidRPr="00C65227">
        <w:rPr>
          <w:rFonts w:cs="Times New Roman"/>
        </w:rPr>
        <w:t>акционерные инвестиционные фонды;</w:t>
      </w:r>
    </w:p>
    <w:p w14:paraId="0FF44EA2" w14:textId="77777777" w:rsidR="005A6E58" w:rsidRPr="00E647C4" w:rsidRDefault="005A6E58" w:rsidP="00E24608">
      <w:pPr>
        <w:spacing w:after="0" w:line="23" w:lineRule="atLeast"/>
        <w:jc w:val="both"/>
        <w:rPr>
          <w:rFonts w:cs="Times New Roman"/>
        </w:rPr>
      </w:pPr>
    </w:p>
    <w:p w14:paraId="2A796396" w14:textId="77777777" w:rsidR="005A6E58" w:rsidRPr="00E647C4" w:rsidRDefault="005A6E58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 xml:space="preserve">Информация </w:t>
      </w:r>
      <w:r w:rsidRPr="00E647C4">
        <w:rPr>
          <w:rFonts w:cs="Times New Roman"/>
        </w:rPr>
        <w:t>о сделках купли-продажи, совершенных не на организованных торгах, должна предоставляться профессиональными участниками рынка ценных бумаг, осуществляющими брокерскую и (или) дилерскую деятельность, и (или) деятельность по управлению ценными бумагами, на биржу:</w:t>
      </w:r>
    </w:p>
    <w:p w14:paraId="6E297B0A" w14:textId="77777777" w:rsidR="005A6E58" w:rsidRDefault="005A6E58" w:rsidP="00E24608">
      <w:pPr>
        <w:spacing w:after="0" w:line="23" w:lineRule="atLeast"/>
        <w:jc w:val="both"/>
      </w:pPr>
    </w:p>
    <w:p w14:paraId="626A2DB9" w14:textId="77777777" w:rsidR="005A6E58" w:rsidRPr="00E647C4" w:rsidRDefault="005A6E58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В</w:t>
      </w:r>
      <w:r w:rsidRPr="00E647C4">
        <w:rPr>
          <w:rFonts w:cs="Times New Roman"/>
        </w:rPr>
        <w:t>ерные утверждения в отношении состава данных о внебиржевых сделках с ценными бумагами, информация о которых должна предоставляться профессиональными участниками рынка ценных бумаг, осуществляющими брокерскую и (или) дилерскую деятельность, и (или) деятельность по управлению ценными бумагами, на биржу:</w:t>
      </w:r>
    </w:p>
    <w:p w14:paraId="1E690826" w14:textId="77777777" w:rsidR="005A6E58" w:rsidRPr="00EA5287" w:rsidRDefault="005A6E58" w:rsidP="00E24608">
      <w:pPr>
        <w:pStyle w:val="a9"/>
        <w:numPr>
          <w:ilvl w:val="0"/>
          <w:numId w:val="20"/>
        </w:numPr>
        <w:spacing w:after="0" w:line="23" w:lineRule="atLeast"/>
        <w:jc w:val="both"/>
        <w:rPr>
          <w:rFonts w:cs="Times New Roman"/>
        </w:rPr>
      </w:pPr>
      <w:r w:rsidRPr="00EA5287">
        <w:rPr>
          <w:rFonts w:cs="Times New Roman"/>
        </w:rPr>
        <w:t>вид сделки (покупка/продажа);</w:t>
      </w:r>
    </w:p>
    <w:p w14:paraId="3E6A4989" w14:textId="77777777" w:rsidR="005A6E58" w:rsidRPr="00EA5287" w:rsidRDefault="005A6E58" w:rsidP="00E24608">
      <w:pPr>
        <w:pStyle w:val="a9"/>
        <w:numPr>
          <w:ilvl w:val="0"/>
          <w:numId w:val="20"/>
        </w:numPr>
        <w:spacing w:after="0" w:line="23" w:lineRule="atLeast"/>
        <w:jc w:val="both"/>
        <w:rPr>
          <w:rFonts w:cs="Times New Roman"/>
        </w:rPr>
      </w:pPr>
      <w:r w:rsidRPr="00EA5287">
        <w:rPr>
          <w:rFonts w:cs="Times New Roman"/>
        </w:rPr>
        <w:t>вид, категория (тип) ценной бумаги;</w:t>
      </w:r>
    </w:p>
    <w:p w14:paraId="0E93DB4C" w14:textId="77777777" w:rsidR="005A6E58" w:rsidRPr="00EA5287" w:rsidRDefault="005A6E58" w:rsidP="00E24608">
      <w:pPr>
        <w:pStyle w:val="a9"/>
        <w:numPr>
          <w:ilvl w:val="0"/>
          <w:numId w:val="20"/>
        </w:numPr>
        <w:spacing w:after="0" w:line="23" w:lineRule="atLeast"/>
        <w:jc w:val="both"/>
        <w:rPr>
          <w:rFonts w:cs="Times New Roman"/>
        </w:rPr>
      </w:pPr>
      <w:r w:rsidRPr="00EA5287">
        <w:rPr>
          <w:rFonts w:cs="Times New Roman"/>
        </w:rPr>
        <w:t>дата заключения сделки.</w:t>
      </w:r>
    </w:p>
    <w:p w14:paraId="48620E77" w14:textId="77777777" w:rsidR="005A6E58" w:rsidRDefault="005A6E58" w:rsidP="00E24608">
      <w:pPr>
        <w:spacing w:after="0" w:line="23" w:lineRule="atLeast"/>
        <w:jc w:val="both"/>
      </w:pPr>
    </w:p>
    <w:p w14:paraId="081153DF" w14:textId="77777777" w:rsidR="005A6E58" w:rsidRDefault="005A6E58" w:rsidP="00E24608">
      <w:pPr>
        <w:spacing w:after="0" w:line="23" w:lineRule="atLeast"/>
        <w:jc w:val="both"/>
      </w:pPr>
    </w:p>
    <w:p w14:paraId="729246F2" w14:textId="74406C90" w:rsidR="00B65142" w:rsidRPr="008C6D33" w:rsidRDefault="00B65142" w:rsidP="00E24608">
      <w:pPr>
        <w:spacing w:after="0" w:line="23" w:lineRule="atLeast"/>
        <w:jc w:val="both"/>
        <w:rPr>
          <w:b/>
        </w:rPr>
      </w:pPr>
      <w:r w:rsidRPr="008C6D33">
        <w:rPr>
          <w:b/>
        </w:rPr>
        <w:t>Клиринг</w:t>
      </w:r>
    </w:p>
    <w:p w14:paraId="70B89531" w14:textId="77777777" w:rsidR="00B65142" w:rsidRDefault="00B65142" w:rsidP="00E24608">
      <w:pPr>
        <w:spacing w:after="0" w:line="23" w:lineRule="atLeast"/>
        <w:jc w:val="both"/>
      </w:pPr>
    </w:p>
    <w:p w14:paraId="01117F7E" w14:textId="77777777" w:rsidR="008C6D33" w:rsidRPr="00E647C4" w:rsidRDefault="008C6D33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lastRenderedPageBreak/>
        <w:t>У</w:t>
      </w:r>
      <w:r w:rsidRPr="00E647C4">
        <w:rPr>
          <w:rFonts w:cs="Times New Roman"/>
        </w:rPr>
        <w:t>частник клиринга вправе отказаться от исполнения договора об оказании клиринговых услуг только при отсутствии у него имущественных обязательств по указанному договору и при отсутствии не исполненных им обязательств, допущенных к клирингу;</w:t>
      </w:r>
    </w:p>
    <w:p w14:paraId="270C60BA" w14:textId="77777777" w:rsidR="009B3A1E" w:rsidRDefault="009B3A1E" w:rsidP="00E24608">
      <w:pPr>
        <w:spacing w:after="0" w:line="23" w:lineRule="atLeast"/>
        <w:jc w:val="both"/>
      </w:pPr>
    </w:p>
    <w:p w14:paraId="6F6D664E" w14:textId="77777777" w:rsidR="001E057D" w:rsidRPr="00E647C4" w:rsidRDefault="001E057D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Т</w:t>
      </w:r>
      <w:r w:rsidRPr="00E647C4">
        <w:rPr>
          <w:rFonts w:cs="Times New Roman"/>
        </w:rPr>
        <w:t>ребование о передаче имущества в коллективное клиринговое обеспечение (гарантийный фонд)</w:t>
      </w:r>
      <w:r>
        <w:rPr>
          <w:rFonts w:cs="Times New Roman"/>
        </w:rPr>
        <w:t xml:space="preserve"> распространяется</w:t>
      </w:r>
      <w:r w:rsidRPr="00E647C4">
        <w:rPr>
          <w:rFonts w:cs="Times New Roman"/>
        </w:rPr>
        <w:t>:</w:t>
      </w:r>
    </w:p>
    <w:p w14:paraId="52FAA882" w14:textId="77777777" w:rsidR="001E057D" w:rsidRPr="00871B1E" w:rsidRDefault="001E057D" w:rsidP="00E24608">
      <w:pPr>
        <w:pStyle w:val="a9"/>
        <w:numPr>
          <w:ilvl w:val="0"/>
          <w:numId w:val="14"/>
        </w:numPr>
        <w:spacing w:after="0" w:line="23" w:lineRule="atLeast"/>
        <w:jc w:val="both"/>
        <w:rPr>
          <w:rFonts w:cs="Times New Roman"/>
        </w:rPr>
      </w:pPr>
      <w:r w:rsidRPr="00871B1E">
        <w:rPr>
          <w:rFonts w:cs="Times New Roman"/>
        </w:rPr>
        <w:t>кредитные организации</w:t>
      </w:r>
    </w:p>
    <w:p w14:paraId="751F6BE6" w14:textId="77777777" w:rsidR="001E057D" w:rsidRPr="00871B1E" w:rsidRDefault="001E057D" w:rsidP="00E24608">
      <w:pPr>
        <w:pStyle w:val="a9"/>
        <w:numPr>
          <w:ilvl w:val="0"/>
          <w:numId w:val="14"/>
        </w:numPr>
        <w:spacing w:after="0" w:line="23" w:lineRule="atLeast"/>
        <w:jc w:val="both"/>
        <w:rPr>
          <w:rFonts w:cs="Times New Roman"/>
        </w:rPr>
      </w:pPr>
      <w:r w:rsidRPr="00871B1E">
        <w:rPr>
          <w:rFonts w:cs="Times New Roman"/>
        </w:rPr>
        <w:t>государственные корпорации</w:t>
      </w:r>
    </w:p>
    <w:p w14:paraId="517B4D3E" w14:textId="77777777" w:rsidR="001E057D" w:rsidRPr="00871B1E" w:rsidRDefault="001E057D" w:rsidP="00E24608">
      <w:pPr>
        <w:pStyle w:val="a9"/>
        <w:numPr>
          <w:ilvl w:val="0"/>
          <w:numId w:val="14"/>
        </w:numPr>
        <w:spacing w:after="0" w:line="23" w:lineRule="atLeast"/>
        <w:jc w:val="both"/>
        <w:rPr>
          <w:rFonts w:cs="Times New Roman"/>
        </w:rPr>
      </w:pPr>
      <w:r w:rsidRPr="00871B1E">
        <w:rPr>
          <w:rFonts w:cs="Times New Roman"/>
        </w:rPr>
        <w:t>профессиональные участники рынка ценных бумаг, осуществляющие дилерскую деятельность</w:t>
      </w:r>
    </w:p>
    <w:p w14:paraId="024F1294" w14:textId="77777777" w:rsidR="001E057D" w:rsidRPr="00871B1E" w:rsidRDefault="001E057D" w:rsidP="00E24608">
      <w:pPr>
        <w:pStyle w:val="a9"/>
        <w:numPr>
          <w:ilvl w:val="0"/>
          <w:numId w:val="14"/>
        </w:numPr>
        <w:spacing w:after="0" w:line="23" w:lineRule="atLeast"/>
        <w:jc w:val="both"/>
        <w:rPr>
          <w:rFonts w:cs="Times New Roman"/>
        </w:rPr>
      </w:pPr>
      <w:r w:rsidRPr="00871B1E">
        <w:rPr>
          <w:rFonts w:cs="Times New Roman"/>
        </w:rPr>
        <w:t>профессиональные участники рынка ценных бумаг, осуществляющие брокерскую деятельность</w:t>
      </w:r>
    </w:p>
    <w:p w14:paraId="2E885D15" w14:textId="77777777" w:rsidR="001E057D" w:rsidRDefault="001E057D" w:rsidP="00E24608">
      <w:pPr>
        <w:spacing w:after="0" w:line="23" w:lineRule="atLeast"/>
        <w:jc w:val="both"/>
        <w:rPr>
          <w:rFonts w:cs="Times New Roman"/>
        </w:rPr>
      </w:pPr>
    </w:p>
    <w:p w14:paraId="4067B3A4" w14:textId="77777777" w:rsidR="001E057D" w:rsidRPr="00E647C4" w:rsidRDefault="001E057D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Н</w:t>
      </w:r>
      <w:r w:rsidRPr="00E647C4">
        <w:rPr>
          <w:rFonts w:cs="Times New Roman"/>
        </w:rPr>
        <w:t>е распространяется требование о передаче имущества в коллективное клиринговое обеспечение (гарантийный фонд)</w:t>
      </w:r>
      <w:r>
        <w:rPr>
          <w:rFonts w:cs="Times New Roman"/>
        </w:rPr>
        <w:t xml:space="preserve"> на</w:t>
      </w:r>
      <w:r w:rsidRPr="00E647C4">
        <w:rPr>
          <w:rFonts w:cs="Times New Roman"/>
        </w:rPr>
        <w:t>:</w:t>
      </w:r>
    </w:p>
    <w:p w14:paraId="65637038" w14:textId="77777777" w:rsidR="001E057D" w:rsidRPr="00B87F16" w:rsidRDefault="001E057D" w:rsidP="00E24608">
      <w:pPr>
        <w:pStyle w:val="a9"/>
        <w:numPr>
          <w:ilvl w:val="0"/>
          <w:numId w:val="15"/>
        </w:numPr>
        <w:spacing w:after="0" w:line="23" w:lineRule="atLeast"/>
        <w:jc w:val="both"/>
        <w:rPr>
          <w:rFonts w:cs="Times New Roman"/>
        </w:rPr>
      </w:pPr>
      <w:r w:rsidRPr="00B87F16">
        <w:rPr>
          <w:rFonts w:cs="Times New Roman"/>
        </w:rPr>
        <w:t>Банк России;</w:t>
      </w:r>
    </w:p>
    <w:p w14:paraId="32D505C9" w14:textId="77777777" w:rsidR="001E057D" w:rsidRPr="00B87F16" w:rsidRDefault="001E057D" w:rsidP="00E24608">
      <w:pPr>
        <w:pStyle w:val="a9"/>
        <w:numPr>
          <w:ilvl w:val="0"/>
          <w:numId w:val="15"/>
        </w:numPr>
        <w:spacing w:after="0" w:line="23" w:lineRule="atLeast"/>
        <w:jc w:val="both"/>
        <w:rPr>
          <w:rFonts w:cs="Times New Roman"/>
        </w:rPr>
      </w:pPr>
      <w:r w:rsidRPr="00B87F16">
        <w:rPr>
          <w:rFonts w:cs="Times New Roman"/>
        </w:rPr>
        <w:t>Министерство финансов Российской Федерации;</w:t>
      </w:r>
    </w:p>
    <w:p w14:paraId="15B3907F" w14:textId="77777777" w:rsidR="00BF1419" w:rsidRDefault="00BF1419" w:rsidP="00E24608">
      <w:pPr>
        <w:spacing w:after="0" w:line="23" w:lineRule="atLeast"/>
        <w:jc w:val="both"/>
      </w:pPr>
    </w:p>
    <w:p w14:paraId="35B1FF0A" w14:textId="77777777" w:rsidR="001E057D" w:rsidRPr="00E647C4" w:rsidRDefault="001E057D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Ф</w:t>
      </w:r>
      <w:r w:rsidRPr="00E647C4">
        <w:rPr>
          <w:rFonts w:cs="Times New Roman"/>
        </w:rPr>
        <w:t>ормировани</w:t>
      </w:r>
      <w:r>
        <w:rPr>
          <w:rFonts w:cs="Times New Roman"/>
        </w:rPr>
        <w:t>е</w:t>
      </w:r>
      <w:r w:rsidRPr="00E647C4">
        <w:rPr>
          <w:rFonts w:cs="Times New Roman"/>
        </w:rPr>
        <w:t xml:space="preserve"> клиринговой организацией клирингового пула:</w:t>
      </w:r>
    </w:p>
    <w:p w14:paraId="0891FA4D" w14:textId="77777777" w:rsidR="001E057D" w:rsidRPr="00D64738" w:rsidRDefault="001E057D" w:rsidP="00E24608">
      <w:pPr>
        <w:pStyle w:val="a9"/>
        <w:numPr>
          <w:ilvl w:val="0"/>
          <w:numId w:val="16"/>
        </w:numPr>
        <w:spacing w:after="0" w:line="23" w:lineRule="atLeast"/>
        <w:jc w:val="both"/>
        <w:rPr>
          <w:rFonts w:cs="Times New Roman"/>
        </w:rPr>
      </w:pPr>
      <w:r w:rsidRPr="00D64738">
        <w:rPr>
          <w:rFonts w:cs="Times New Roman"/>
        </w:rPr>
        <w:t>порядок и условия включения обязательств в клиринговый пул устанавливаются правилами клиринга;</w:t>
      </w:r>
    </w:p>
    <w:p w14:paraId="633C2361" w14:textId="77777777" w:rsidR="001E057D" w:rsidRPr="00D64738" w:rsidRDefault="001E057D" w:rsidP="00E24608">
      <w:pPr>
        <w:pStyle w:val="a9"/>
        <w:numPr>
          <w:ilvl w:val="0"/>
          <w:numId w:val="16"/>
        </w:numPr>
        <w:spacing w:after="0" w:line="23" w:lineRule="atLeast"/>
        <w:jc w:val="both"/>
        <w:rPr>
          <w:rFonts w:cs="Times New Roman"/>
        </w:rPr>
      </w:pPr>
      <w:r w:rsidRPr="00D64738">
        <w:rPr>
          <w:rFonts w:cs="Times New Roman"/>
        </w:rPr>
        <w:t>одно и то же обязательство может быть одновременно включено только в один клиринговый пул;</w:t>
      </w:r>
    </w:p>
    <w:p w14:paraId="15261E0D" w14:textId="77777777" w:rsidR="001E057D" w:rsidRPr="00D64738" w:rsidRDefault="001E057D" w:rsidP="00E24608">
      <w:pPr>
        <w:pStyle w:val="a9"/>
        <w:numPr>
          <w:ilvl w:val="0"/>
          <w:numId w:val="16"/>
        </w:numPr>
        <w:spacing w:after="0" w:line="23" w:lineRule="atLeast"/>
        <w:jc w:val="both"/>
        <w:rPr>
          <w:rFonts w:cs="Times New Roman"/>
        </w:rPr>
      </w:pPr>
      <w:r w:rsidRPr="00D64738">
        <w:rPr>
          <w:rFonts w:cs="Times New Roman"/>
        </w:rPr>
        <w:t>в клиринговый пул могут быть включены обязательства, возникшие по итогам клиринга обязательств, включенных в другой клиринговый пул;</w:t>
      </w:r>
    </w:p>
    <w:p w14:paraId="725B9C15" w14:textId="77777777" w:rsidR="001E057D" w:rsidRPr="00D64738" w:rsidRDefault="001E057D" w:rsidP="00E24608">
      <w:pPr>
        <w:pStyle w:val="a9"/>
        <w:numPr>
          <w:ilvl w:val="0"/>
          <w:numId w:val="16"/>
        </w:numPr>
        <w:spacing w:after="0" w:line="23" w:lineRule="atLeast"/>
        <w:jc w:val="both"/>
        <w:rPr>
          <w:rFonts w:cs="Times New Roman"/>
        </w:rPr>
      </w:pPr>
      <w:r w:rsidRPr="00D64738">
        <w:rPr>
          <w:rFonts w:cs="Times New Roman"/>
        </w:rPr>
        <w:t>в случаях, предусмотренных правилами клиринга, клиринговая организация вправе формировать один или несколько клиринговых пулов.</w:t>
      </w:r>
    </w:p>
    <w:p w14:paraId="4917EB7D" w14:textId="77777777" w:rsidR="001E057D" w:rsidRDefault="001E057D" w:rsidP="00E24608">
      <w:pPr>
        <w:spacing w:after="0" w:line="23" w:lineRule="atLeast"/>
        <w:jc w:val="both"/>
      </w:pPr>
    </w:p>
    <w:p w14:paraId="00C5CFB4" w14:textId="77777777" w:rsidR="00BD1F75" w:rsidRPr="00E647C4" w:rsidRDefault="00BD1F75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К</w:t>
      </w:r>
      <w:r w:rsidRPr="00E647C4">
        <w:rPr>
          <w:rFonts w:cs="Times New Roman"/>
        </w:rPr>
        <w:t>лиринговая организация вправе осуществлять в целях удовлетворения требований, обеспеченных индивидуальным клиринговым обеспечением, в случае неисполнения или ненадлежащего исполнения участником клиринга своих обязательств</w:t>
      </w:r>
      <w:r>
        <w:rPr>
          <w:rFonts w:cs="Times New Roman"/>
        </w:rPr>
        <w:t xml:space="preserve"> следующие действия</w:t>
      </w:r>
      <w:r w:rsidRPr="00E647C4">
        <w:rPr>
          <w:rFonts w:cs="Times New Roman"/>
        </w:rPr>
        <w:t>:</w:t>
      </w:r>
    </w:p>
    <w:p w14:paraId="3FBDDDEB" w14:textId="77777777" w:rsidR="00BD1F75" w:rsidRPr="00D64738" w:rsidRDefault="00BD1F75" w:rsidP="00E24608">
      <w:pPr>
        <w:pStyle w:val="a9"/>
        <w:numPr>
          <w:ilvl w:val="0"/>
          <w:numId w:val="13"/>
        </w:numPr>
        <w:spacing w:after="0" w:line="23" w:lineRule="atLeast"/>
        <w:jc w:val="both"/>
        <w:rPr>
          <w:rFonts w:cs="Times New Roman"/>
        </w:rPr>
      </w:pPr>
      <w:r w:rsidRPr="00D64738">
        <w:rPr>
          <w:rFonts w:cs="Times New Roman"/>
        </w:rPr>
        <w:t>продажа имущества, являющегося индивидуальным клиринговым обеспечением, с передачей вырученных средств кредитору по обязательствам, обеспеченным индивидуальным клиринговым обеспечением, или приобретения за счет указанных средств иного имущества и передачи его кредитору;</w:t>
      </w:r>
    </w:p>
    <w:p w14:paraId="71F75CAE" w14:textId="77777777" w:rsidR="00BD1F75" w:rsidRPr="00D64738" w:rsidRDefault="00BD1F75" w:rsidP="00E24608">
      <w:pPr>
        <w:pStyle w:val="a9"/>
        <w:numPr>
          <w:ilvl w:val="0"/>
          <w:numId w:val="13"/>
        </w:numPr>
        <w:spacing w:after="0" w:line="23" w:lineRule="atLeast"/>
        <w:jc w:val="both"/>
        <w:rPr>
          <w:rFonts w:cs="Times New Roman"/>
        </w:rPr>
      </w:pPr>
      <w:r w:rsidRPr="00D64738">
        <w:rPr>
          <w:rFonts w:cs="Times New Roman"/>
        </w:rPr>
        <w:t>передача имущества, являющегося индивидуальным клиринговым обеспечением, кредитору в счет исполнения обязательства, обеспеченного индивидуальным клиринговым обеспечением;</w:t>
      </w:r>
    </w:p>
    <w:p w14:paraId="128214DA" w14:textId="0720B904" w:rsidR="00BD1F75" w:rsidRPr="00405D65" w:rsidRDefault="00BD1F75" w:rsidP="00E24608">
      <w:pPr>
        <w:pStyle w:val="a9"/>
        <w:numPr>
          <w:ilvl w:val="0"/>
          <w:numId w:val="13"/>
        </w:numPr>
        <w:spacing w:after="0" w:line="23" w:lineRule="atLeast"/>
        <w:jc w:val="both"/>
        <w:rPr>
          <w:rFonts w:cs="Times New Roman"/>
        </w:rPr>
      </w:pPr>
      <w:r w:rsidRPr="00D64738">
        <w:rPr>
          <w:rFonts w:cs="Times New Roman"/>
        </w:rPr>
        <w:t>заключение договоров репо и передача имущества, полученного по договорам, кредитору.</w:t>
      </w:r>
    </w:p>
    <w:p w14:paraId="3828EF8C" w14:textId="77777777" w:rsidR="00405D65" w:rsidRDefault="00405D65" w:rsidP="00E24608">
      <w:pPr>
        <w:spacing w:after="0" w:line="23" w:lineRule="atLeast"/>
        <w:jc w:val="both"/>
      </w:pPr>
    </w:p>
    <w:p w14:paraId="62EC0B53" w14:textId="77777777" w:rsidR="00405D65" w:rsidRPr="00E647C4" w:rsidRDefault="00405D65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В</w:t>
      </w:r>
      <w:r w:rsidRPr="00E647C4">
        <w:rPr>
          <w:rFonts w:cs="Times New Roman"/>
        </w:rPr>
        <w:t>ерные утверждения в отношении обращения клиринговых сертификатов участия:</w:t>
      </w:r>
    </w:p>
    <w:p w14:paraId="147B6C5C" w14:textId="77777777" w:rsidR="00405D65" w:rsidRPr="00BF2C25" w:rsidRDefault="00405D65" w:rsidP="00E24608">
      <w:pPr>
        <w:pStyle w:val="a9"/>
        <w:numPr>
          <w:ilvl w:val="0"/>
          <w:numId w:val="22"/>
        </w:numPr>
        <w:spacing w:after="0" w:line="23" w:lineRule="atLeast"/>
        <w:jc w:val="both"/>
        <w:rPr>
          <w:rFonts w:cs="Times New Roman"/>
        </w:rPr>
      </w:pPr>
      <w:r w:rsidRPr="00BF2C25">
        <w:rPr>
          <w:rFonts w:cs="Times New Roman"/>
        </w:rPr>
        <w:t>клиринговые сертификаты участия могут быть переданы по договору репо с Банком России;</w:t>
      </w:r>
    </w:p>
    <w:p w14:paraId="5DF8CCE7" w14:textId="77777777" w:rsidR="00405D65" w:rsidRPr="00BF2C25" w:rsidRDefault="00405D65" w:rsidP="00E24608">
      <w:pPr>
        <w:pStyle w:val="a9"/>
        <w:numPr>
          <w:ilvl w:val="0"/>
          <w:numId w:val="22"/>
        </w:numPr>
        <w:spacing w:after="0" w:line="23" w:lineRule="atLeast"/>
        <w:jc w:val="both"/>
        <w:rPr>
          <w:rFonts w:cs="Times New Roman"/>
        </w:rPr>
      </w:pPr>
      <w:r w:rsidRPr="00BF2C25">
        <w:rPr>
          <w:rFonts w:cs="Times New Roman"/>
        </w:rPr>
        <w:t>клиринговые сертификаты участия могут быть переданы по договору репо с центральным контрагентом;</w:t>
      </w:r>
    </w:p>
    <w:p w14:paraId="0D667C50" w14:textId="77777777" w:rsidR="00405D65" w:rsidRDefault="00405D65" w:rsidP="00E24608">
      <w:pPr>
        <w:spacing w:after="0" w:line="23" w:lineRule="atLeast"/>
        <w:jc w:val="both"/>
      </w:pPr>
    </w:p>
    <w:p w14:paraId="7C45C01D" w14:textId="77777777" w:rsidR="00405D65" w:rsidRPr="00E647C4" w:rsidRDefault="00405D65" w:rsidP="00E24608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В</w:t>
      </w:r>
      <w:r w:rsidRPr="00E647C4">
        <w:rPr>
          <w:rFonts w:cs="Times New Roman"/>
        </w:rPr>
        <w:t>ерные утверждения в отношении особенностей заключения на организованных торгах договоров с центральным контрагентом:</w:t>
      </w:r>
    </w:p>
    <w:p w14:paraId="1AE81F2F" w14:textId="77777777" w:rsidR="00405D65" w:rsidRPr="00BC32AE" w:rsidRDefault="00405D65" w:rsidP="00E24608">
      <w:pPr>
        <w:pStyle w:val="a9"/>
        <w:numPr>
          <w:ilvl w:val="0"/>
          <w:numId w:val="23"/>
        </w:numPr>
        <w:spacing w:after="0" w:line="23" w:lineRule="atLeast"/>
        <w:jc w:val="both"/>
        <w:rPr>
          <w:rFonts w:cs="Times New Roman"/>
        </w:rPr>
      </w:pPr>
      <w:r w:rsidRPr="00BC32AE">
        <w:rPr>
          <w:rFonts w:cs="Times New Roman"/>
        </w:rPr>
        <w:t>в случаях, предусмотренных правилами организованных торгов, центральный контрагент без подачи им заявки может заключить один или несколько договоров репо с одним или несколькими участниками торгов, подавшими заявки на заключение указанных договоров, если другим или другими участниками торгов поданы заявки на размещение денежных средств при условии, что сроки, указанные в таких заявках, совпадают;</w:t>
      </w:r>
    </w:p>
    <w:p w14:paraId="56011149" w14:textId="77777777" w:rsidR="00405D65" w:rsidRPr="00BC32AE" w:rsidRDefault="00405D65" w:rsidP="00E24608">
      <w:pPr>
        <w:pStyle w:val="a9"/>
        <w:numPr>
          <w:ilvl w:val="0"/>
          <w:numId w:val="23"/>
        </w:numPr>
        <w:spacing w:after="0" w:line="23" w:lineRule="atLeast"/>
        <w:jc w:val="both"/>
        <w:rPr>
          <w:rFonts w:cs="Times New Roman"/>
        </w:rPr>
      </w:pPr>
      <w:r w:rsidRPr="00BC32AE">
        <w:rPr>
          <w:rFonts w:cs="Times New Roman"/>
        </w:rPr>
        <w:t>в случаях, предусмотренных правилами организованных торгов, центральный контрагент заключает договор на организованных торгах на основании заявки, подаваемой этим центральным контрагентом;</w:t>
      </w:r>
    </w:p>
    <w:p w14:paraId="0200F4BD" w14:textId="77777777" w:rsidR="00405D65" w:rsidRPr="00BC32AE" w:rsidRDefault="00405D65" w:rsidP="00E24608">
      <w:pPr>
        <w:pStyle w:val="a9"/>
        <w:numPr>
          <w:ilvl w:val="0"/>
          <w:numId w:val="23"/>
        </w:numPr>
        <w:spacing w:after="0" w:line="23" w:lineRule="atLeast"/>
        <w:jc w:val="both"/>
        <w:rPr>
          <w:rFonts w:cs="Times New Roman"/>
        </w:rPr>
      </w:pPr>
      <w:r w:rsidRPr="00BC32AE">
        <w:rPr>
          <w:rFonts w:cs="Times New Roman"/>
        </w:rPr>
        <w:lastRenderedPageBreak/>
        <w:t>центральный контрагент заключает договор с каждым из участников торгов, соответствие зарегистрированных разнонаправленных заявок которых друг другу установлено организатором торгов.</w:t>
      </w:r>
    </w:p>
    <w:p w14:paraId="79B9BA9E" w14:textId="77777777" w:rsidR="00405D65" w:rsidRDefault="00405D65" w:rsidP="00E24608">
      <w:pPr>
        <w:spacing w:after="0" w:line="23" w:lineRule="atLeast"/>
        <w:jc w:val="both"/>
        <w:rPr>
          <w:rFonts w:cs="Times New Roman"/>
        </w:rPr>
      </w:pPr>
    </w:p>
    <w:p w14:paraId="33A9F845" w14:textId="77777777" w:rsidR="00405D65" w:rsidRDefault="00405D65" w:rsidP="00E24608">
      <w:pPr>
        <w:spacing w:after="0" w:line="23" w:lineRule="atLeast"/>
        <w:jc w:val="both"/>
      </w:pPr>
    </w:p>
    <w:p w14:paraId="32B76F2C" w14:textId="42FAD1B0" w:rsidR="00F8037A" w:rsidRDefault="00C207E1" w:rsidP="00E24608">
      <w:pPr>
        <w:pStyle w:val="1"/>
        <w:spacing w:before="0" w:line="23" w:lineRule="atLeast"/>
        <w:jc w:val="center"/>
        <w:rPr>
          <w:rFonts w:cs="Times New Roman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Темы</w:t>
      </w:r>
      <w:r w:rsidR="00361C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1.3–1.5</w:t>
      </w:r>
      <w:r w:rsidR="00F8037A" w:rsidRPr="00A2754D">
        <w:rPr>
          <w:rFonts w:ascii="Times New Roman" w:hAnsi="Times New Roman" w:cs="Times New Roman"/>
          <w:color w:val="auto"/>
          <w:sz w:val="24"/>
          <w:szCs w:val="24"/>
        </w:rPr>
        <w:t xml:space="preserve"> Взаимодействие </w:t>
      </w:r>
      <w:r w:rsidR="006C4006">
        <w:rPr>
          <w:rFonts w:ascii="Times New Roman" w:hAnsi="Times New Roman" w:cs="Times New Roman"/>
          <w:color w:val="auto"/>
          <w:sz w:val="24"/>
          <w:szCs w:val="24"/>
        </w:rPr>
        <w:t>с центральным депозитарием, номинальным держателем, регистратором. Предоставление информации в репозитарий</w:t>
      </w:r>
    </w:p>
    <w:p w14:paraId="1E4F915D" w14:textId="77777777" w:rsidR="006C4006" w:rsidRDefault="006C4006" w:rsidP="00E24608">
      <w:pPr>
        <w:spacing w:after="0" w:line="23" w:lineRule="atLeast"/>
        <w:jc w:val="center"/>
        <w:rPr>
          <w:rFonts w:cs="Times New Roman"/>
          <w:b/>
        </w:rPr>
      </w:pPr>
    </w:p>
    <w:p w14:paraId="20AF2273" w14:textId="1D8F5228" w:rsidR="003A4FA7" w:rsidRPr="003A4FA7" w:rsidRDefault="003A4FA7" w:rsidP="00E24608">
      <w:pPr>
        <w:spacing w:after="0" w:line="23" w:lineRule="atLeast"/>
        <w:jc w:val="both"/>
        <w:rPr>
          <w:rFonts w:cs="Times New Roman"/>
          <w:b/>
        </w:rPr>
      </w:pPr>
      <w:r w:rsidRPr="003A4FA7">
        <w:rPr>
          <w:rFonts w:cs="Times New Roman"/>
          <w:b/>
        </w:rPr>
        <w:t xml:space="preserve">Депозитарий </w:t>
      </w:r>
      <w:bookmarkStart w:id="1" w:name="_GoBack"/>
      <w:bookmarkEnd w:id="1"/>
    </w:p>
    <w:p w14:paraId="79C94BA6" w14:textId="77777777" w:rsidR="003A4FA7" w:rsidRPr="00A2754D" w:rsidRDefault="003A4FA7" w:rsidP="00E24608">
      <w:pPr>
        <w:spacing w:after="0" w:line="23" w:lineRule="atLeast"/>
        <w:jc w:val="both"/>
        <w:rPr>
          <w:rFonts w:cs="Times New Roman"/>
        </w:rPr>
      </w:pPr>
    </w:p>
    <w:p w14:paraId="1BE2FB8A" w14:textId="77777777" w:rsidR="00F25260" w:rsidRPr="00A2754D" w:rsidRDefault="00F25260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Центральный депозитарий – это д</w:t>
      </w:r>
      <w:r w:rsidRPr="00A2754D">
        <w:rPr>
          <w:snapToGrid w:val="0"/>
          <w:sz w:val="22"/>
          <w:szCs w:val="22"/>
        </w:rPr>
        <w:t>епозитарий, который является небанковской кредитной организацией и которому присвоен статус центрального депозитария в соответствии с требованиями законодательства Российской Федерации.</w:t>
      </w:r>
    </w:p>
    <w:p w14:paraId="6DD89A0C" w14:textId="77777777" w:rsidR="00F25260" w:rsidRPr="00A2754D" w:rsidRDefault="00F25260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299AB20D" w14:textId="77777777" w:rsidR="00F25260" w:rsidRPr="00A2754D" w:rsidRDefault="00F25260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Д</w:t>
      </w:r>
      <w:r w:rsidRPr="00A2754D">
        <w:rPr>
          <w:snapToGrid w:val="0"/>
          <w:sz w:val="22"/>
          <w:szCs w:val="22"/>
        </w:rPr>
        <w:t>еятельност</w:t>
      </w:r>
      <w:r>
        <w:rPr>
          <w:snapToGrid w:val="0"/>
          <w:sz w:val="22"/>
          <w:szCs w:val="22"/>
        </w:rPr>
        <w:t>ь</w:t>
      </w:r>
      <w:r w:rsidRPr="00A2754D">
        <w:rPr>
          <w:snapToGrid w:val="0"/>
          <w:sz w:val="22"/>
          <w:szCs w:val="22"/>
        </w:rPr>
        <w:t xml:space="preserve"> центрального депозитария:</w:t>
      </w:r>
    </w:p>
    <w:p w14:paraId="2EAD6195" w14:textId="77777777" w:rsidR="00F25260" w:rsidRPr="00A2754D" w:rsidRDefault="00F25260" w:rsidP="00E24608">
      <w:pPr>
        <w:pStyle w:val="Normal1"/>
        <w:numPr>
          <w:ilvl w:val="0"/>
          <w:numId w:val="2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Статус центрального депозитария может быть присвоен только одному юридическому лицу;</w:t>
      </w:r>
    </w:p>
    <w:p w14:paraId="4C856832" w14:textId="77777777" w:rsidR="00F25260" w:rsidRPr="00A2754D" w:rsidRDefault="00F25260" w:rsidP="00E24608">
      <w:pPr>
        <w:pStyle w:val="Normal1"/>
        <w:numPr>
          <w:ilvl w:val="0"/>
          <w:numId w:val="2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Центральный депозитарий, его клиенты (депоненты), а также лица, осуществляющие ведение реестра, обязаны при взаимодействии друг с другом осуществлять обмен информацией и документами в электронной форме;</w:t>
      </w:r>
    </w:p>
    <w:p w14:paraId="34FB228D" w14:textId="77777777" w:rsidR="00F25260" w:rsidRPr="00A2754D" w:rsidRDefault="00F25260" w:rsidP="00E24608">
      <w:pPr>
        <w:pStyle w:val="Normal1"/>
        <w:numPr>
          <w:ilvl w:val="0"/>
          <w:numId w:val="2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Центральный депозитарий открывает счета депо владельцев ценных бумаг, счета депо доверительного управляющего ценными бумагами, счета депо номинального держателя;</w:t>
      </w:r>
    </w:p>
    <w:p w14:paraId="216953A4" w14:textId="77777777" w:rsidR="00F25260" w:rsidRPr="00A2754D" w:rsidRDefault="00F25260" w:rsidP="00E24608">
      <w:pPr>
        <w:pStyle w:val="Normal1"/>
        <w:numPr>
          <w:ilvl w:val="0"/>
          <w:numId w:val="2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Центральным депозитарием может являться только акционерное общество, созданное в соответствии с законодательством Российской Федерации;</w:t>
      </w:r>
    </w:p>
    <w:p w14:paraId="60BA7AF1" w14:textId="77777777" w:rsidR="00F25260" w:rsidRPr="00A2754D" w:rsidRDefault="00F25260" w:rsidP="00E24608">
      <w:pPr>
        <w:pStyle w:val="Normal1"/>
        <w:numPr>
          <w:ilvl w:val="0"/>
          <w:numId w:val="2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Центральный депозитарий имеет право открывать счета депо владельцев лицам, не являющимся профессиональными участниками на российском рынке ценных бумаг, при условии, что они назначили попечителем счета профессионального участника.</w:t>
      </w:r>
    </w:p>
    <w:p w14:paraId="06DA4311" w14:textId="77777777" w:rsidR="00F8037A" w:rsidRDefault="00F8037A" w:rsidP="00E24608">
      <w:pPr>
        <w:spacing w:after="0" w:line="23" w:lineRule="atLeast"/>
        <w:jc w:val="both"/>
      </w:pPr>
    </w:p>
    <w:p w14:paraId="22EAA14D" w14:textId="77777777" w:rsidR="00757184" w:rsidRPr="00A2754D" w:rsidRDefault="00757184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Права и обязанности депозитария по отношению к депоненту определяются депозитарным договором (договором о счете депо).</w:t>
      </w:r>
    </w:p>
    <w:p w14:paraId="33641E49" w14:textId="77777777" w:rsidR="00757184" w:rsidRDefault="00757184" w:rsidP="00E24608">
      <w:pPr>
        <w:spacing w:after="0" w:line="23" w:lineRule="atLeast"/>
        <w:jc w:val="both"/>
      </w:pPr>
    </w:p>
    <w:p w14:paraId="7ADB1756" w14:textId="77777777" w:rsidR="003A4FA7" w:rsidRPr="00A2754D" w:rsidRDefault="003A4FA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Условия осуществления депозитарной деятельности являются неотъемлемой частью депозитарного договора.</w:t>
      </w:r>
    </w:p>
    <w:p w14:paraId="108FE1EE" w14:textId="77777777" w:rsidR="003A4FA7" w:rsidRDefault="003A4FA7" w:rsidP="00E24608">
      <w:pPr>
        <w:spacing w:after="0" w:line="23" w:lineRule="atLeast"/>
        <w:jc w:val="both"/>
      </w:pPr>
    </w:p>
    <w:p w14:paraId="308A6414" w14:textId="77777777" w:rsidR="00892D8C" w:rsidRPr="00A2754D" w:rsidRDefault="00892D8C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65A97122" w14:textId="77777777" w:rsidR="00892D8C" w:rsidRPr="00A2754D" w:rsidRDefault="00892D8C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П</w:t>
      </w:r>
      <w:r w:rsidRPr="00A2754D">
        <w:rPr>
          <w:snapToGrid w:val="0"/>
          <w:sz w:val="22"/>
          <w:szCs w:val="22"/>
        </w:rPr>
        <w:t>рав</w:t>
      </w:r>
      <w:r>
        <w:rPr>
          <w:snapToGrid w:val="0"/>
          <w:sz w:val="22"/>
          <w:szCs w:val="22"/>
        </w:rPr>
        <w:t>а и обязанности</w:t>
      </w:r>
      <w:r w:rsidRPr="00A2754D">
        <w:rPr>
          <w:snapToGrid w:val="0"/>
          <w:sz w:val="22"/>
          <w:szCs w:val="22"/>
        </w:rPr>
        <w:t xml:space="preserve"> попечителей счетов депонентов, открытых у депозитария:</w:t>
      </w:r>
    </w:p>
    <w:p w14:paraId="3066149F" w14:textId="77777777" w:rsidR="00892D8C" w:rsidRPr="00A2754D" w:rsidRDefault="00892D8C" w:rsidP="00E24608">
      <w:pPr>
        <w:pStyle w:val="Normal1"/>
        <w:numPr>
          <w:ilvl w:val="0"/>
          <w:numId w:val="29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Права и обязанности попечителя счета депонента и депозитария устанавливаются договором;</w:t>
      </w:r>
    </w:p>
    <w:p w14:paraId="67420383" w14:textId="530B3A01" w:rsidR="003A4FA7" w:rsidRPr="00892D8C" w:rsidRDefault="00892D8C" w:rsidP="00E24608">
      <w:pPr>
        <w:pStyle w:val="Normal1"/>
        <w:numPr>
          <w:ilvl w:val="0"/>
          <w:numId w:val="29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Каждое поручение, переданное попечителем счета в депозитарий, должно иметь в качестве основания поручение депонента.</w:t>
      </w:r>
    </w:p>
    <w:p w14:paraId="018F114F" w14:textId="77777777" w:rsidR="00892D8C" w:rsidRDefault="00892D8C" w:rsidP="00E24608">
      <w:pPr>
        <w:spacing w:after="0" w:line="23" w:lineRule="atLeast"/>
        <w:jc w:val="both"/>
      </w:pPr>
    </w:p>
    <w:p w14:paraId="6C8414D3" w14:textId="77777777" w:rsidR="003A4FA7" w:rsidRPr="00A2754D" w:rsidRDefault="003A4FA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Д</w:t>
      </w:r>
      <w:r w:rsidRPr="00A2754D">
        <w:rPr>
          <w:snapToGrid w:val="0"/>
          <w:sz w:val="22"/>
          <w:szCs w:val="22"/>
        </w:rPr>
        <w:t>окументы, направляемые депозитарием клиентам (депонентам):</w:t>
      </w:r>
    </w:p>
    <w:p w14:paraId="221FC915" w14:textId="77777777" w:rsidR="003A4FA7" w:rsidRPr="00A2754D" w:rsidRDefault="003A4FA7" w:rsidP="00E24608">
      <w:pPr>
        <w:pStyle w:val="Normal1"/>
        <w:numPr>
          <w:ilvl w:val="0"/>
          <w:numId w:val="28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Ответы на запросы, заявления и жалобы клиентов;</w:t>
      </w:r>
    </w:p>
    <w:p w14:paraId="3871E9CB" w14:textId="77777777" w:rsidR="003A4FA7" w:rsidRPr="00A2754D" w:rsidRDefault="003A4FA7" w:rsidP="00E24608">
      <w:pPr>
        <w:pStyle w:val="Normal1"/>
        <w:numPr>
          <w:ilvl w:val="0"/>
          <w:numId w:val="28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Отчеты и выписки по счетам депо и проведенным операциям;</w:t>
      </w:r>
    </w:p>
    <w:p w14:paraId="7CE4B1C0" w14:textId="65D0A12B" w:rsidR="003A4FA7" w:rsidRPr="00892D8C" w:rsidRDefault="003A4FA7" w:rsidP="00E24608">
      <w:pPr>
        <w:pStyle w:val="Normal1"/>
        <w:numPr>
          <w:ilvl w:val="0"/>
          <w:numId w:val="28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Отчеты клиенту о возврате документов и мотивированные отказы в исполнении поручений;</w:t>
      </w:r>
    </w:p>
    <w:p w14:paraId="55F16A06" w14:textId="77777777" w:rsidR="00892D8C" w:rsidRDefault="00892D8C" w:rsidP="00E24608">
      <w:pPr>
        <w:spacing w:after="0" w:line="23" w:lineRule="atLeast"/>
        <w:jc w:val="both"/>
      </w:pPr>
    </w:p>
    <w:p w14:paraId="2B6FD5AB" w14:textId="77777777" w:rsidR="003A4FA7" w:rsidRPr="00A2754D" w:rsidRDefault="003A4FA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Поручения депонента</w:t>
      </w:r>
      <w:r>
        <w:rPr>
          <w:snapToGrid w:val="0"/>
          <w:sz w:val="22"/>
          <w:szCs w:val="22"/>
        </w:rPr>
        <w:t xml:space="preserve"> - основание</w:t>
      </w:r>
      <w:r w:rsidRPr="00A2754D">
        <w:rPr>
          <w:snapToGrid w:val="0"/>
          <w:sz w:val="22"/>
          <w:szCs w:val="22"/>
        </w:rPr>
        <w:t xml:space="preserve"> для с</w:t>
      </w:r>
      <w:r>
        <w:rPr>
          <w:snapToGrid w:val="0"/>
          <w:sz w:val="22"/>
          <w:szCs w:val="22"/>
        </w:rPr>
        <w:t>овершения записей по счету депо</w:t>
      </w:r>
    </w:p>
    <w:p w14:paraId="5543F737" w14:textId="77777777" w:rsidR="003A4FA7" w:rsidRDefault="003A4FA7" w:rsidP="00E24608">
      <w:pPr>
        <w:spacing w:after="0" w:line="23" w:lineRule="atLeast"/>
        <w:jc w:val="both"/>
      </w:pPr>
    </w:p>
    <w:p w14:paraId="3D0CABCE" w14:textId="77777777" w:rsidR="00547FD8" w:rsidRPr="00A2754D" w:rsidRDefault="00547FD8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Центральный депозитарий открывает счета депо владельцев ценных бумаг:</w:t>
      </w:r>
    </w:p>
    <w:p w14:paraId="2A27C6E5" w14:textId="77777777" w:rsidR="00547FD8" w:rsidRPr="00A2754D" w:rsidRDefault="00547FD8" w:rsidP="00E24608">
      <w:pPr>
        <w:pStyle w:val="Normal1"/>
        <w:numPr>
          <w:ilvl w:val="0"/>
          <w:numId w:val="2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Российской Федерации, субъектам Российской Федерации и муниципальным образованиям в лице соответствующих уполномоченных органов или организаций;</w:t>
      </w:r>
    </w:p>
    <w:p w14:paraId="5305F67D" w14:textId="77777777" w:rsidR="00547FD8" w:rsidRPr="00A2754D" w:rsidRDefault="00547FD8" w:rsidP="00E24608">
      <w:pPr>
        <w:pStyle w:val="Normal1"/>
        <w:numPr>
          <w:ilvl w:val="0"/>
          <w:numId w:val="2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Банку России;</w:t>
      </w:r>
    </w:p>
    <w:p w14:paraId="26CDF533" w14:textId="77777777" w:rsidR="00547FD8" w:rsidRPr="00A2754D" w:rsidRDefault="00547FD8" w:rsidP="00E24608">
      <w:pPr>
        <w:pStyle w:val="Normal1"/>
        <w:numPr>
          <w:ilvl w:val="0"/>
          <w:numId w:val="2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Профессиональным участникам рынка ценных бумаг, кредитным организациям;</w:t>
      </w:r>
    </w:p>
    <w:p w14:paraId="46446C8F" w14:textId="77777777" w:rsidR="00547FD8" w:rsidRPr="00A2754D" w:rsidRDefault="00547FD8" w:rsidP="00E24608">
      <w:pPr>
        <w:pStyle w:val="Normal1"/>
        <w:numPr>
          <w:ilvl w:val="0"/>
          <w:numId w:val="2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Управляющим компаниям инвестиционных фондов, паевых инвестиционных фондов и негосударственных пенсионных фондов;</w:t>
      </w:r>
    </w:p>
    <w:p w14:paraId="4A058B48" w14:textId="77777777" w:rsidR="00547FD8" w:rsidRPr="00A2754D" w:rsidRDefault="00547FD8" w:rsidP="00E24608">
      <w:pPr>
        <w:pStyle w:val="Normal1"/>
        <w:numPr>
          <w:ilvl w:val="0"/>
          <w:numId w:val="2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lastRenderedPageBreak/>
        <w:t>Иным лицам при условии, что полномочия по подаче поручений на проведение операций по соответствующему счету депо предоставлены профессиональному участнику рынка ценных бумаг или Банку России.</w:t>
      </w:r>
    </w:p>
    <w:p w14:paraId="51BD211F" w14:textId="77777777" w:rsidR="00547FD8" w:rsidRDefault="00547FD8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2BEF4D83" w14:textId="77777777" w:rsidR="00547FD8" w:rsidRPr="00A2754D" w:rsidRDefault="00547FD8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Номинальн</w:t>
      </w:r>
      <w:r>
        <w:rPr>
          <w:snapToGrid w:val="0"/>
          <w:sz w:val="22"/>
          <w:szCs w:val="22"/>
        </w:rPr>
        <w:t>ый держатель ценных бумаг – это д</w:t>
      </w:r>
      <w:r w:rsidRPr="00A2754D">
        <w:rPr>
          <w:snapToGrid w:val="0"/>
          <w:sz w:val="22"/>
          <w:szCs w:val="22"/>
        </w:rPr>
        <w:t>епозитарий, на лицевом счете (счете депо) которого учитываются права на ценные бумаги, принадлежащие иным лицам.</w:t>
      </w:r>
    </w:p>
    <w:p w14:paraId="788BF2D2" w14:textId="77777777" w:rsidR="00547FD8" w:rsidRDefault="00547FD8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749C34D2" w14:textId="77777777" w:rsidR="00F25260" w:rsidRPr="00A2754D" w:rsidRDefault="00F25260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Центральный депозитарий открывает сч</w:t>
      </w:r>
      <w:r>
        <w:rPr>
          <w:snapToGrid w:val="0"/>
          <w:sz w:val="22"/>
          <w:szCs w:val="22"/>
        </w:rPr>
        <w:t>ета депо номинального держателя л</w:t>
      </w:r>
      <w:r w:rsidRPr="00A2754D">
        <w:rPr>
          <w:snapToGrid w:val="0"/>
          <w:sz w:val="22"/>
          <w:szCs w:val="22"/>
        </w:rPr>
        <w:t>ицам, осуществляющим депозитарную деятельность.</w:t>
      </w:r>
    </w:p>
    <w:p w14:paraId="77F0F9AC" w14:textId="77777777" w:rsidR="00892D8C" w:rsidRDefault="00892D8C" w:rsidP="00E24608">
      <w:pPr>
        <w:tabs>
          <w:tab w:val="left" w:pos="2880"/>
        </w:tabs>
        <w:spacing w:after="0" w:line="23" w:lineRule="atLeast"/>
        <w:jc w:val="both"/>
      </w:pPr>
    </w:p>
    <w:p w14:paraId="1FD2F84E" w14:textId="22004989" w:rsidR="00547FD8" w:rsidRDefault="00547FD8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Профессиональным участникам рынка ценных бумаг, осуществляющим деятельность по управлению ценными бумагами</w:t>
      </w:r>
      <w:r w:rsidR="00AB7AC9">
        <w:rPr>
          <w:snapToGrid w:val="0"/>
          <w:sz w:val="22"/>
          <w:szCs w:val="22"/>
        </w:rPr>
        <w:t>,</w:t>
      </w:r>
      <w:r w:rsidRPr="00A2754D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 xml:space="preserve">депозитарий открывает счет депо </w:t>
      </w:r>
      <w:r w:rsidRPr="00A2754D">
        <w:rPr>
          <w:snapToGrid w:val="0"/>
          <w:sz w:val="22"/>
          <w:szCs w:val="22"/>
        </w:rPr>
        <w:t>доверительного управляющего.</w:t>
      </w:r>
    </w:p>
    <w:p w14:paraId="7FBFD503" w14:textId="77777777" w:rsidR="00892D8C" w:rsidRDefault="00892D8C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7D5BC8D3" w14:textId="7C995668" w:rsidR="00892D8C" w:rsidRPr="00A2754D" w:rsidRDefault="00892D8C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 xml:space="preserve">Учет ценных бумаг разных учредителей управления на одном счете депо управляющего разрешен, если такое объединение ценных бумаг предусмотрено договорами доверительного управления с </w:t>
      </w:r>
      <w:r>
        <w:rPr>
          <w:snapToGrid w:val="0"/>
          <w:sz w:val="22"/>
          <w:szCs w:val="22"/>
        </w:rPr>
        <w:t>такими учредителями управления.</w:t>
      </w:r>
    </w:p>
    <w:p w14:paraId="130E1F49" w14:textId="77777777" w:rsidR="00547FD8" w:rsidRDefault="00547FD8" w:rsidP="00E24608">
      <w:pPr>
        <w:spacing w:after="0" w:line="23" w:lineRule="atLeast"/>
        <w:jc w:val="both"/>
      </w:pPr>
    </w:p>
    <w:p w14:paraId="7B001DDD" w14:textId="77777777" w:rsidR="003A4FA7" w:rsidRPr="00A2754D" w:rsidRDefault="003A4FA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Депозитарий может предоставлять сведения о счетах депо клиентов (депонентов):</w:t>
      </w:r>
    </w:p>
    <w:p w14:paraId="4E8694E8" w14:textId="77777777" w:rsidR="003A4FA7" w:rsidRPr="00A2754D" w:rsidRDefault="003A4FA7" w:rsidP="00E24608">
      <w:pPr>
        <w:pStyle w:val="Normal1"/>
        <w:numPr>
          <w:ilvl w:val="0"/>
          <w:numId w:val="27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Клиентам (депонентам);</w:t>
      </w:r>
    </w:p>
    <w:p w14:paraId="1C0B583B" w14:textId="77777777" w:rsidR="003A4FA7" w:rsidRPr="00A2754D" w:rsidRDefault="003A4FA7" w:rsidP="00E24608">
      <w:pPr>
        <w:pStyle w:val="Normal1"/>
        <w:numPr>
          <w:ilvl w:val="0"/>
          <w:numId w:val="27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Лицензирующему органу в рамках его полномочий при проведении проверок деятельности депозитария;</w:t>
      </w:r>
    </w:p>
    <w:p w14:paraId="4CEB53F1" w14:textId="77777777" w:rsidR="003A4FA7" w:rsidRDefault="003A4FA7" w:rsidP="00E24608">
      <w:pPr>
        <w:spacing w:after="0" w:line="23" w:lineRule="atLeast"/>
        <w:jc w:val="both"/>
      </w:pPr>
    </w:p>
    <w:p w14:paraId="5058481C" w14:textId="77777777" w:rsidR="00BD7B91" w:rsidRPr="00A2754D" w:rsidRDefault="00BD7B91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Регламенты взаимодействия депозитария с подразделениями организации, осуществляющими другие виды профессиональной деятельности, в части регламентации порядка исполнения депозитарием поручений таких подразделений, должны устанавливать:</w:t>
      </w:r>
    </w:p>
    <w:p w14:paraId="65D32E2A" w14:textId="77777777" w:rsidR="00BD7B91" w:rsidRPr="00A2754D" w:rsidRDefault="00BD7B91" w:rsidP="00E24608">
      <w:pPr>
        <w:pStyle w:val="Normal1"/>
        <w:numPr>
          <w:ilvl w:val="0"/>
          <w:numId w:val="31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Состав сотрудников других подразделений организации, осуществляющих иные виды профессиональной деятельности, уполномоченных подавать от имени депонентов поручения депозитарию, и ответственность этих сотрудников за направление в депозитарий ненадлежащих или неправомочных поручений;</w:t>
      </w:r>
    </w:p>
    <w:p w14:paraId="719EF2D9" w14:textId="77777777" w:rsidR="00BD7B91" w:rsidRPr="00A2754D" w:rsidRDefault="00BD7B91" w:rsidP="00E24608">
      <w:pPr>
        <w:pStyle w:val="Normal1"/>
        <w:numPr>
          <w:ilvl w:val="0"/>
          <w:numId w:val="31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Состав операций, совершаемых депозитарием на основании поручений других подразделений организации, осуществляющих иные виды профессиональной деятельности;</w:t>
      </w:r>
    </w:p>
    <w:p w14:paraId="79D756C1" w14:textId="77777777" w:rsidR="00BD7B91" w:rsidRPr="00A2754D" w:rsidRDefault="00BD7B91" w:rsidP="00E24608">
      <w:pPr>
        <w:pStyle w:val="Normal1"/>
        <w:numPr>
          <w:ilvl w:val="0"/>
          <w:numId w:val="31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Ответственность сотрудников депозитария за исполнение ненадлежащих или неправомочных поручений других подразделений организации, осуществляющих иные виды профессиональной деятельности, а также за предоставление таким подразделениям ненадлежащих или неправомочных отчетов об исполнении их поручений;</w:t>
      </w:r>
    </w:p>
    <w:p w14:paraId="552827EB" w14:textId="77777777" w:rsidR="00BD7B91" w:rsidRPr="00A2754D" w:rsidRDefault="00BD7B91" w:rsidP="00E24608">
      <w:pPr>
        <w:pStyle w:val="Normal1"/>
        <w:numPr>
          <w:ilvl w:val="0"/>
          <w:numId w:val="31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Порядок, способы и сроки получения депозитарием поручений от других подразделений организации, осуществляющих иные виды профессиональной деятельности, и предоставления депозитарием отчетов об исполнении таких поручений.</w:t>
      </w:r>
    </w:p>
    <w:p w14:paraId="2B1B45FA" w14:textId="77777777" w:rsidR="00BD7B91" w:rsidRDefault="00BD7B91" w:rsidP="00E24608">
      <w:pPr>
        <w:spacing w:after="0" w:line="23" w:lineRule="atLeast"/>
        <w:jc w:val="both"/>
      </w:pPr>
    </w:p>
    <w:p w14:paraId="04CE3C65" w14:textId="77777777" w:rsidR="004E0E07" w:rsidRPr="00A2754D" w:rsidRDefault="004E0E0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Аналитический учет по счету внутреннего учета ценных бумаг клиентов профессиональн</w:t>
      </w:r>
      <w:r>
        <w:rPr>
          <w:snapToGrid w:val="0"/>
          <w:sz w:val="22"/>
          <w:szCs w:val="22"/>
        </w:rPr>
        <w:t>ого участника ведется в разрезе м</w:t>
      </w:r>
      <w:r w:rsidRPr="00A2754D">
        <w:rPr>
          <w:snapToGrid w:val="0"/>
          <w:sz w:val="22"/>
          <w:szCs w:val="22"/>
        </w:rPr>
        <w:t>еста учета ценных бумаг, договора с клиентом, эмитента ценной бумаги, вида, категории (типа), выпуска, серии, транша ценной бумаги.</w:t>
      </w:r>
    </w:p>
    <w:p w14:paraId="44AB905E" w14:textId="77777777" w:rsidR="004E0E07" w:rsidRDefault="004E0E07" w:rsidP="00E24608">
      <w:pPr>
        <w:spacing w:after="0" w:line="23" w:lineRule="atLeast"/>
        <w:jc w:val="both"/>
      </w:pPr>
    </w:p>
    <w:p w14:paraId="7C5279B3" w14:textId="77777777" w:rsidR="0036048A" w:rsidRPr="00A2754D" w:rsidRDefault="0036048A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Иные операции отражаются профессиональным участником во внутреннем учете в случае, если:</w:t>
      </w:r>
    </w:p>
    <w:p w14:paraId="0313B4C1" w14:textId="77777777" w:rsidR="0036048A" w:rsidRPr="00A2754D" w:rsidRDefault="0036048A" w:rsidP="00E24608">
      <w:pPr>
        <w:pStyle w:val="Normal1"/>
        <w:numPr>
          <w:ilvl w:val="0"/>
          <w:numId w:val="32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Профессиональный участник осуществляет доверительное управление ценными бумагами;</w:t>
      </w:r>
    </w:p>
    <w:p w14:paraId="2609F2CF" w14:textId="77777777" w:rsidR="0036048A" w:rsidRPr="00A2754D" w:rsidRDefault="0036048A" w:rsidP="00E24608">
      <w:pPr>
        <w:pStyle w:val="Normal1"/>
        <w:numPr>
          <w:ilvl w:val="0"/>
          <w:numId w:val="32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Брокер является попечителем счета депо клиента или если имеется доверенность или иной документ, которым установлено право распоряжаться, осуществлять права по ценным бумагам и получать информацию по счету депо / разделу счета депо клиента.</w:t>
      </w:r>
    </w:p>
    <w:p w14:paraId="7A44A200" w14:textId="77777777" w:rsidR="003A4FA7" w:rsidRDefault="003A4FA7" w:rsidP="00E24608">
      <w:pPr>
        <w:spacing w:after="0" w:line="23" w:lineRule="atLeast"/>
        <w:jc w:val="both"/>
      </w:pPr>
    </w:p>
    <w:p w14:paraId="45404A8F" w14:textId="1B6A035B" w:rsidR="003A4FA7" w:rsidRPr="003A4FA7" w:rsidRDefault="003A4FA7" w:rsidP="00E24608">
      <w:pPr>
        <w:spacing w:after="0" w:line="23" w:lineRule="atLeast"/>
        <w:jc w:val="both"/>
        <w:rPr>
          <w:b/>
        </w:rPr>
      </w:pPr>
      <w:r w:rsidRPr="003A4FA7">
        <w:rPr>
          <w:b/>
        </w:rPr>
        <w:t>Регистратор</w:t>
      </w:r>
    </w:p>
    <w:p w14:paraId="4E793819" w14:textId="77777777" w:rsidR="003A4FA7" w:rsidRDefault="003A4FA7" w:rsidP="00E24608">
      <w:pPr>
        <w:spacing w:after="0" w:line="23" w:lineRule="atLeast"/>
        <w:jc w:val="both"/>
      </w:pPr>
    </w:p>
    <w:p w14:paraId="4DD624AD" w14:textId="77777777" w:rsidR="003D6941" w:rsidRDefault="003D6941" w:rsidP="00E24608">
      <w:pPr>
        <w:spacing w:after="0" w:line="23" w:lineRule="atLeast"/>
        <w:jc w:val="both"/>
      </w:pPr>
    </w:p>
    <w:p w14:paraId="7086379C" w14:textId="77777777" w:rsidR="004E0E07" w:rsidRPr="00A2754D" w:rsidRDefault="004E0E0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Регистратор, осуществляющий ведение реестра владельцев эмиссионных ценных бумаг, не вправе привлекать для</w:t>
      </w:r>
      <w:r>
        <w:rPr>
          <w:snapToGrid w:val="0"/>
          <w:sz w:val="22"/>
          <w:szCs w:val="22"/>
        </w:rPr>
        <w:t xml:space="preserve"> выполнения части своих функций у</w:t>
      </w:r>
      <w:r w:rsidRPr="00A2754D">
        <w:rPr>
          <w:snapToGrid w:val="0"/>
          <w:sz w:val="22"/>
          <w:szCs w:val="22"/>
        </w:rPr>
        <w:t>правляющих.</w:t>
      </w:r>
    </w:p>
    <w:p w14:paraId="68103DAD" w14:textId="77777777" w:rsidR="004E0E07" w:rsidRDefault="004E0E0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521B062A" w14:textId="77777777" w:rsidR="004E0E07" w:rsidRPr="00A2754D" w:rsidRDefault="004E0E0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lastRenderedPageBreak/>
        <w:t>Ф</w:t>
      </w:r>
      <w:r w:rsidRPr="00A2754D">
        <w:rPr>
          <w:snapToGrid w:val="0"/>
          <w:sz w:val="22"/>
          <w:szCs w:val="22"/>
        </w:rPr>
        <w:t>ункции, выполняемые брокером, действующим в качестве трансфер-агента, на основании договора с регистратором:</w:t>
      </w:r>
    </w:p>
    <w:p w14:paraId="71C85DCF" w14:textId="77777777" w:rsidR="004E0E07" w:rsidRPr="00A2754D" w:rsidRDefault="004E0E07" w:rsidP="00E24608">
      <w:pPr>
        <w:pStyle w:val="Normal1"/>
        <w:numPr>
          <w:ilvl w:val="0"/>
          <w:numId w:val="33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Прием от зарегистрированных лиц и их уполномоченных представителей документов на совершение операций в реестре;</w:t>
      </w:r>
    </w:p>
    <w:p w14:paraId="2EC3C543" w14:textId="77777777" w:rsidR="004E0E07" w:rsidRPr="00A2754D" w:rsidRDefault="004E0E07" w:rsidP="00E24608">
      <w:pPr>
        <w:pStyle w:val="Normal1"/>
        <w:numPr>
          <w:ilvl w:val="0"/>
          <w:numId w:val="33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Передача регистратору подлинников документов на совершение операций в реестре;</w:t>
      </w:r>
    </w:p>
    <w:p w14:paraId="277366F2" w14:textId="77777777" w:rsidR="004E0E07" w:rsidRPr="00A2754D" w:rsidRDefault="004E0E07" w:rsidP="00E24608">
      <w:pPr>
        <w:pStyle w:val="Normal1"/>
        <w:numPr>
          <w:ilvl w:val="0"/>
          <w:numId w:val="33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Передача зарегистрированным лицам и их уполномоченным представителям сертификатов ценных бумаг и (или) выписок из реестра, полученных от регистратора;</w:t>
      </w:r>
    </w:p>
    <w:p w14:paraId="11410FF5" w14:textId="77777777" w:rsidR="004E0E07" w:rsidRPr="00A2754D" w:rsidRDefault="004E0E07" w:rsidP="00E24608">
      <w:pPr>
        <w:pStyle w:val="Normal1"/>
        <w:numPr>
          <w:ilvl w:val="0"/>
          <w:numId w:val="33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Осуществление проверки подлинности подписи на распоряжениях.</w:t>
      </w:r>
    </w:p>
    <w:p w14:paraId="080DECC5" w14:textId="77777777" w:rsidR="004E0E07" w:rsidRDefault="004E0E0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1940EEFA" w14:textId="77777777" w:rsidR="004E0E07" w:rsidRPr="00A2754D" w:rsidRDefault="004E0E07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 xml:space="preserve">Регистратор </w:t>
      </w:r>
      <w:r>
        <w:rPr>
          <w:snapToGrid w:val="0"/>
          <w:sz w:val="22"/>
          <w:szCs w:val="22"/>
        </w:rPr>
        <w:t>ОБЯЗАН</w:t>
      </w:r>
      <w:r w:rsidRPr="00A2754D">
        <w:rPr>
          <w:snapToGrid w:val="0"/>
          <w:sz w:val="22"/>
          <w:szCs w:val="22"/>
        </w:rPr>
        <w:t xml:space="preserve"> возмещать убытки, причиненные в результате неисполнения или ненадлежащего исполнения трансфер - агентом своих функций.</w:t>
      </w:r>
    </w:p>
    <w:p w14:paraId="6D7AD528" w14:textId="77777777" w:rsidR="003A4FA7" w:rsidRDefault="003A4FA7" w:rsidP="00E24608">
      <w:pPr>
        <w:spacing w:after="0" w:line="23" w:lineRule="atLeast"/>
        <w:jc w:val="both"/>
      </w:pPr>
    </w:p>
    <w:p w14:paraId="4D0F7F97" w14:textId="71506216" w:rsidR="003A4FA7" w:rsidRPr="003A4FA7" w:rsidRDefault="003A4FA7" w:rsidP="00E24608">
      <w:pPr>
        <w:spacing w:after="0" w:line="23" w:lineRule="atLeast"/>
        <w:jc w:val="both"/>
        <w:rPr>
          <w:b/>
        </w:rPr>
      </w:pPr>
      <w:r w:rsidRPr="003A4FA7">
        <w:rPr>
          <w:b/>
        </w:rPr>
        <w:t>Репозитарий</w:t>
      </w:r>
    </w:p>
    <w:p w14:paraId="1A8BA280" w14:textId="77777777" w:rsidR="00BA0D2B" w:rsidRDefault="00BA0D2B" w:rsidP="00E24608">
      <w:pPr>
        <w:spacing w:after="0" w:line="23" w:lineRule="atLeast"/>
        <w:jc w:val="both"/>
      </w:pPr>
    </w:p>
    <w:p w14:paraId="441F8435" w14:textId="77777777" w:rsidR="00BA0D2B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Репозитарием может выступать:</w:t>
      </w:r>
    </w:p>
    <w:p w14:paraId="2446023A" w14:textId="10C07ABB" w:rsidR="00BA0D2B" w:rsidRDefault="00BA0D2B" w:rsidP="00E24608">
      <w:pPr>
        <w:pStyle w:val="Normal1"/>
        <w:numPr>
          <w:ilvl w:val="0"/>
          <w:numId w:val="40"/>
        </w:numPr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С</w:t>
      </w:r>
      <w:r w:rsidRPr="00BA0D2B">
        <w:rPr>
          <w:snapToGrid w:val="0"/>
          <w:sz w:val="22"/>
          <w:szCs w:val="22"/>
        </w:rPr>
        <w:t xml:space="preserve">аморегулируемая организация профессиональных участников рынка ценных бумаг, </w:t>
      </w:r>
    </w:p>
    <w:p w14:paraId="5CD02CD7" w14:textId="4CB79F7F" w:rsidR="00BA0D2B" w:rsidRDefault="00BA0D2B" w:rsidP="00E24608">
      <w:pPr>
        <w:pStyle w:val="Normal1"/>
        <w:numPr>
          <w:ilvl w:val="0"/>
          <w:numId w:val="40"/>
        </w:numPr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К</w:t>
      </w:r>
      <w:r w:rsidRPr="00BA0D2B">
        <w:rPr>
          <w:snapToGrid w:val="0"/>
          <w:sz w:val="22"/>
          <w:szCs w:val="22"/>
        </w:rPr>
        <w:t>лири</w:t>
      </w:r>
      <w:r>
        <w:rPr>
          <w:snapToGrid w:val="0"/>
          <w:sz w:val="22"/>
          <w:szCs w:val="22"/>
        </w:rPr>
        <w:t>нговая организация</w:t>
      </w:r>
    </w:p>
    <w:p w14:paraId="478ACF84" w14:textId="1E4BC18A" w:rsidR="00BA0D2B" w:rsidRDefault="00BA0D2B" w:rsidP="00E24608">
      <w:pPr>
        <w:pStyle w:val="Normal1"/>
        <w:numPr>
          <w:ilvl w:val="0"/>
          <w:numId w:val="40"/>
        </w:numPr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Б</w:t>
      </w:r>
      <w:r w:rsidRPr="00BA0D2B">
        <w:rPr>
          <w:snapToGrid w:val="0"/>
          <w:sz w:val="22"/>
          <w:szCs w:val="22"/>
        </w:rPr>
        <w:t>иржа</w:t>
      </w:r>
    </w:p>
    <w:p w14:paraId="1299C556" w14:textId="77777777" w:rsidR="00BA0D2B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56422F5A" w14:textId="081FD068" w:rsidR="00BA0D2B" w:rsidRPr="00A2754D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Торговая система не вправе осуществлять репозитарную деятельность в соответствии с Законом о рынке ценных бумаг</w:t>
      </w:r>
    </w:p>
    <w:p w14:paraId="352E8F74" w14:textId="77777777" w:rsidR="00BA0D2B" w:rsidRDefault="00BA0D2B" w:rsidP="00E24608">
      <w:pPr>
        <w:spacing w:after="0" w:line="23" w:lineRule="atLeast"/>
        <w:jc w:val="both"/>
      </w:pPr>
    </w:p>
    <w:p w14:paraId="746CFE09" w14:textId="77777777" w:rsidR="00CB79DA" w:rsidRPr="00A2754D" w:rsidRDefault="00CB79DA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В рамках осуществления репозитарной деятельности репозитарий обязан:</w:t>
      </w:r>
    </w:p>
    <w:p w14:paraId="145AA34C" w14:textId="77777777" w:rsidR="00CB79DA" w:rsidRPr="00A2754D" w:rsidRDefault="00CB79DA" w:rsidP="00E24608">
      <w:pPr>
        <w:pStyle w:val="Normal1"/>
        <w:numPr>
          <w:ilvl w:val="0"/>
          <w:numId w:val="4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Вести реестр договоров;</w:t>
      </w:r>
    </w:p>
    <w:p w14:paraId="7437502E" w14:textId="77777777" w:rsidR="00CB79DA" w:rsidRPr="00A2754D" w:rsidRDefault="00CB79DA" w:rsidP="00E24608">
      <w:pPr>
        <w:pStyle w:val="Normal1"/>
        <w:numPr>
          <w:ilvl w:val="0"/>
          <w:numId w:val="4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Предоставлять в Банк России реестр договоров;</w:t>
      </w:r>
    </w:p>
    <w:p w14:paraId="090BF00C" w14:textId="77777777" w:rsidR="00CB79DA" w:rsidRPr="00A2754D" w:rsidRDefault="00CB79DA" w:rsidP="00E24608">
      <w:pPr>
        <w:pStyle w:val="Normal1"/>
        <w:numPr>
          <w:ilvl w:val="0"/>
          <w:numId w:val="4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Обеспечить хранение и защиту информации, внесенной в реестр договоров.</w:t>
      </w:r>
    </w:p>
    <w:p w14:paraId="5C4C412B" w14:textId="77777777" w:rsidR="00CB79DA" w:rsidRDefault="00CB79DA" w:rsidP="00E24608">
      <w:pPr>
        <w:spacing w:after="0" w:line="23" w:lineRule="atLeast"/>
        <w:jc w:val="both"/>
      </w:pPr>
    </w:p>
    <w:p w14:paraId="7DFB4B6A" w14:textId="77777777" w:rsidR="006A006F" w:rsidRPr="00A2754D" w:rsidRDefault="006A006F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Предоставлению в репозитарий подлежит информация о следующих видах договоров:</w:t>
      </w:r>
    </w:p>
    <w:p w14:paraId="2C8913B3" w14:textId="77777777" w:rsidR="006A006F" w:rsidRPr="00A2754D" w:rsidRDefault="006A006F" w:rsidP="00E24608">
      <w:pPr>
        <w:pStyle w:val="Normal1"/>
        <w:numPr>
          <w:ilvl w:val="0"/>
          <w:numId w:val="3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Договор репо;</w:t>
      </w:r>
    </w:p>
    <w:p w14:paraId="21C58CFA" w14:textId="77777777" w:rsidR="006A006F" w:rsidRPr="00A2754D" w:rsidRDefault="006A006F" w:rsidP="00E24608">
      <w:pPr>
        <w:pStyle w:val="Normal1"/>
        <w:numPr>
          <w:ilvl w:val="0"/>
          <w:numId w:val="3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Договор, предусматривающий обязанность одной стороны передать валюту в собственность второй стороне и обязанность второй стороны принять и оплатить валюту, а также обязанность второй стороны передать валюту в собственность первой стороне и обязанность первой стороны принять и оплатить валюту. При этом такой договор не предусматривает иных обязанностей сторон по уплате или передаче валюты (денежных средств);</w:t>
      </w:r>
    </w:p>
    <w:p w14:paraId="32BE0938" w14:textId="77777777" w:rsidR="006A006F" w:rsidRPr="00A2754D" w:rsidRDefault="006A006F" w:rsidP="00E24608">
      <w:pPr>
        <w:pStyle w:val="Normal1"/>
        <w:numPr>
          <w:ilvl w:val="0"/>
          <w:numId w:val="35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Договор, являющийся производным финансовым инструментом, виды которых определены Банком России.</w:t>
      </w:r>
    </w:p>
    <w:p w14:paraId="1E8C0DD4" w14:textId="77777777" w:rsidR="006A006F" w:rsidRDefault="006A006F" w:rsidP="00E24608">
      <w:pPr>
        <w:spacing w:after="0" w:line="23" w:lineRule="atLeast"/>
        <w:jc w:val="both"/>
      </w:pPr>
    </w:p>
    <w:p w14:paraId="7A2C69E0" w14:textId="77777777" w:rsidR="003747EC" w:rsidRPr="00A2754D" w:rsidRDefault="003747EC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Информация о договорах, заключенных на условиях генерального соглашен</w:t>
      </w:r>
      <w:r>
        <w:rPr>
          <w:snapToGrid w:val="0"/>
          <w:sz w:val="22"/>
          <w:szCs w:val="22"/>
        </w:rPr>
        <w:t>ия представляется в репозитарий о</w:t>
      </w:r>
      <w:r w:rsidRPr="00A2754D">
        <w:rPr>
          <w:snapToGrid w:val="0"/>
          <w:sz w:val="22"/>
          <w:szCs w:val="22"/>
        </w:rPr>
        <w:t>дновременно с информацией о генеральном соглашении.</w:t>
      </w:r>
    </w:p>
    <w:p w14:paraId="5A75F45D" w14:textId="77777777" w:rsidR="003747EC" w:rsidRDefault="003747EC" w:rsidP="00E24608">
      <w:pPr>
        <w:spacing w:after="0" w:line="23" w:lineRule="atLeast"/>
        <w:jc w:val="both"/>
      </w:pPr>
    </w:p>
    <w:p w14:paraId="72B29A14" w14:textId="77777777" w:rsidR="006A006F" w:rsidRPr="00A2754D" w:rsidRDefault="006A006F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Предоставлять информацию в репозитарий обязаны следующие юридические лица, созданные в соответствии с законодательством Российской Федерации:</w:t>
      </w:r>
    </w:p>
    <w:p w14:paraId="48CDDDFD" w14:textId="77777777" w:rsidR="006A006F" w:rsidRPr="00A2754D" w:rsidRDefault="006A006F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Кредитные организации;</w:t>
      </w:r>
    </w:p>
    <w:p w14:paraId="1CC9FBF8" w14:textId="77777777" w:rsidR="006A006F" w:rsidRPr="00A2754D" w:rsidRDefault="006A006F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Брокеры;</w:t>
      </w:r>
    </w:p>
    <w:p w14:paraId="0BD41065" w14:textId="77777777" w:rsidR="006A006F" w:rsidRPr="00A2754D" w:rsidRDefault="006A006F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Дилеры;</w:t>
      </w:r>
    </w:p>
    <w:p w14:paraId="6185A81D" w14:textId="77777777" w:rsidR="006A006F" w:rsidRPr="00A2754D" w:rsidRDefault="006A006F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Управляющие;</w:t>
      </w:r>
    </w:p>
    <w:p w14:paraId="5F8F4DEE" w14:textId="77777777" w:rsidR="006A006F" w:rsidRDefault="006A006F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Депозитарии;</w:t>
      </w:r>
    </w:p>
    <w:p w14:paraId="011A34DC" w14:textId="77777777" w:rsidR="00E12F4D" w:rsidRPr="00A2754D" w:rsidRDefault="00E12F4D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Клиринговые организации;</w:t>
      </w:r>
    </w:p>
    <w:p w14:paraId="43935329" w14:textId="77777777" w:rsidR="00E12F4D" w:rsidRPr="00A2754D" w:rsidRDefault="00E12F4D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Страховые организации.</w:t>
      </w:r>
    </w:p>
    <w:p w14:paraId="17AD84CC" w14:textId="77777777" w:rsidR="006A006F" w:rsidRPr="00A2754D" w:rsidRDefault="006A006F" w:rsidP="00E24608">
      <w:pPr>
        <w:pStyle w:val="Normal1"/>
        <w:numPr>
          <w:ilvl w:val="0"/>
          <w:numId w:val="34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Регистраторы.</w:t>
      </w:r>
    </w:p>
    <w:p w14:paraId="33CFE825" w14:textId="77777777" w:rsidR="003A4FA7" w:rsidRDefault="003A4FA7" w:rsidP="00E24608">
      <w:pPr>
        <w:spacing w:after="0" w:line="23" w:lineRule="atLeast"/>
        <w:jc w:val="both"/>
      </w:pPr>
    </w:p>
    <w:p w14:paraId="26EFBA0F" w14:textId="77777777" w:rsidR="00C83849" w:rsidRPr="00A2754D" w:rsidRDefault="00C83849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Для представления информации в репозитарий нефинансовая организация имеет право назначить информирующее лицо. В качестве информирующего лица может выступать:</w:t>
      </w:r>
    </w:p>
    <w:p w14:paraId="55C1A85D" w14:textId="77777777" w:rsidR="00C83849" w:rsidRPr="00A2754D" w:rsidRDefault="00C83849" w:rsidP="00E24608">
      <w:pPr>
        <w:pStyle w:val="Normal1"/>
        <w:numPr>
          <w:ilvl w:val="0"/>
          <w:numId w:val="42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Любое юридическое лицо, являющееся резидентом Российской Федерации;</w:t>
      </w:r>
    </w:p>
    <w:p w14:paraId="0164EC9A" w14:textId="77777777" w:rsidR="00C83849" w:rsidRPr="00A2754D" w:rsidRDefault="00C83849" w:rsidP="00E24608">
      <w:pPr>
        <w:pStyle w:val="Normal1"/>
        <w:numPr>
          <w:ilvl w:val="0"/>
          <w:numId w:val="42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Любое юридическое лицо, являющееся нерезидентом Российской Федерации;</w:t>
      </w:r>
    </w:p>
    <w:p w14:paraId="17D58A3E" w14:textId="77777777" w:rsidR="00C83849" w:rsidRPr="00A2754D" w:rsidRDefault="00C83849" w:rsidP="00E24608">
      <w:pPr>
        <w:pStyle w:val="Normal1"/>
        <w:numPr>
          <w:ilvl w:val="0"/>
          <w:numId w:val="42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lastRenderedPageBreak/>
        <w:t>Репозитарий.</w:t>
      </w:r>
    </w:p>
    <w:p w14:paraId="1260CEF1" w14:textId="77777777" w:rsidR="00C83849" w:rsidRDefault="00C83849" w:rsidP="00E24608">
      <w:pPr>
        <w:spacing w:after="0" w:line="23" w:lineRule="atLeast"/>
        <w:jc w:val="both"/>
      </w:pPr>
    </w:p>
    <w:p w14:paraId="4F364B17" w14:textId="43D19F43" w:rsidR="00E23B6B" w:rsidRPr="00A2754D" w:rsidRDefault="00E23B6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В случае если нефинансовая организация заключила договор с российским профессиональным участником рынка ценных бумаг, то лицом</w:t>
      </w:r>
      <w:r w:rsidR="00AB7AC9">
        <w:rPr>
          <w:snapToGrid w:val="0"/>
          <w:sz w:val="22"/>
          <w:szCs w:val="22"/>
        </w:rPr>
        <w:t>,</w:t>
      </w:r>
      <w:r w:rsidRPr="00A2754D">
        <w:rPr>
          <w:snapToGrid w:val="0"/>
          <w:sz w:val="22"/>
          <w:szCs w:val="22"/>
        </w:rPr>
        <w:t xml:space="preserve"> обязанным представлять информац</w:t>
      </w:r>
      <w:r>
        <w:rPr>
          <w:snapToGrid w:val="0"/>
          <w:sz w:val="22"/>
          <w:szCs w:val="22"/>
        </w:rPr>
        <w:t>ию в репозитарий</w:t>
      </w:r>
      <w:r w:rsidR="00AB7AC9">
        <w:rPr>
          <w:snapToGrid w:val="0"/>
          <w:sz w:val="22"/>
          <w:szCs w:val="22"/>
        </w:rPr>
        <w:t>,</w:t>
      </w:r>
      <w:r>
        <w:rPr>
          <w:snapToGrid w:val="0"/>
          <w:sz w:val="22"/>
          <w:szCs w:val="22"/>
        </w:rPr>
        <w:t xml:space="preserve"> будет являться т</w:t>
      </w:r>
      <w:r w:rsidRPr="00A2754D">
        <w:rPr>
          <w:snapToGrid w:val="0"/>
          <w:sz w:val="22"/>
          <w:szCs w:val="22"/>
        </w:rPr>
        <w:t>олько профессиональный участник рынка ценных бумаг.</w:t>
      </w:r>
    </w:p>
    <w:p w14:paraId="4D083717" w14:textId="77777777" w:rsidR="00E23B6B" w:rsidRDefault="00E23B6B" w:rsidP="00E24608">
      <w:pPr>
        <w:spacing w:after="0" w:line="23" w:lineRule="atLeast"/>
        <w:jc w:val="both"/>
      </w:pPr>
    </w:p>
    <w:p w14:paraId="6C27CDEB" w14:textId="77777777" w:rsidR="0073731A" w:rsidRPr="00A2754D" w:rsidRDefault="0073731A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Информация об одном договоре РЕПО или договоре, являющимся производным финансовым инструментом, заключенном не на организованных торгах, а также совокупности таких договоров, заключенных на условиях одного генерального со</w:t>
      </w:r>
      <w:r>
        <w:rPr>
          <w:snapToGrid w:val="0"/>
          <w:sz w:val="22"/>
          <w:szCs w:val="22"/>
        </w:rPr>
        <w:t>глашения, может предоставляться т</w:t>
      </w:r>
      <w:r w:rsidRPr="00A2754D">
        <w:rPr>
          <w:snapToGrid w:val="0"/>
          <w:sz w:val="22"/>
          <w:szCs w:val="22"/>
        </w:rPr>
        <w:t>олько в один репозитарий.</w:t>
      </w:r>
    </w:p>
    <w:p w14:paraId="096B1596" w14:textId="77777777" w:rsidR="0073731A" w:rsidRDefault="0073731A" w:rsidP="00E24608">
      <w:pPr>
        <w:spacing w:after="0" w:line="23" w:lineRule="atLeast"/>
        <w:jc w:val="both"/>
      </w:pPr>
    </w:p>
    <w:p w14:paraId="342CDBBF" w14:textId="77777777" w:rsidR="003D6941" w:rsidRPr="00A2754D" w:rsidRDefault="003D6941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С</w:t>
      </w:r>
      <w:r w:rsidRPr="00A2754D">
        <w:rPr>
          <w:snapToGrid w:val="0"/>
          <w:sz w:val="22"/>
          <w:szCs w:val="22"/>
        </w:rPr>
        <w:t>рок, установленный указанием Банка России, для предоставления информации о договоре, заключенном не на организованных торгах, в репозитарий</w:t>
      </w:r>
      <w:r>
        <w:rPr>
          <w:snapToGrid w:val="0"/>
          <w:sz w:val="22"/>
          <w:szCs w:val="22"/>
        </w:rPr>
        <w:t xml:space="preserve"> - н</w:t>
      </w:r>
      <w:r w:rsidRPr="00A2754D">
        <w:rPr>
          <w:snapToGrid w:val="0"/>
          <w:sz w:val="22"/>
          <w:szCs w:val="22"/>
        </w:rPr>
        <w:t>е позднее трех рабочих дней с даты заключения, изменения или прекращения договора.</w:t>
      </w:r>
    </w:p>
    <w:p w14:paraId="086C0C9F" w14:textId="77777777" w:rsidR="003D6941" w:rsidRDefault="003D6941" w:rsidP="00E24608">
      <w:pPr>
        <w:spacing w:after="0" w:line="23" w:lineRule="atLeast"/>
        <w:jc w:val="both"/>
      </w:pPr>
    </w:p>
    <w:p w14:paraId="3EA2EA99" w14:textId="77777777" w:rsidR="00BA0D2B" w:rsidRPr="00A2754D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Внесение записи или отказ во внесении записи в реестр о договоре, заключенном не на организованных торгах, ос</w:t>
      </w:r>
      <w:r>
        <w:rPr>
          <w:snapToGrid w:val="0"/>
          <w:sz w:val="22"/>
          <w:szCs w:val="22"/>
        </w:rPr>
        <w:t>уществляется репозитарием н</w:t>
      </w:r>
      <w:r w:rsidRPr="00A2754D">
        <w:rPr>
          <w:snapToGrid w:val="0"/>
          <w:sz w:val="22"/>
          <w:szCs w:val="22"/>
        </w:rPr>
        <w:t>е позднее рабочего дня, следующего за днем получения последнего сообщения при условии совпадения обязательных для сверки полей в сообщениях, полученных от каждой из сторон договора (их информирующих лиц).</w:t>
      </w:r>
    </w:p>
    <w:p w14:paraId="79E5BD19" w14:textId="77777777" w:rsidR="00BA0D2B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6F2A7C30" w14:textId="77777777" w:rsidR="00BA0D2B" w:rsidRPr="00A2754D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Репозитарий отказывает во внесении записи в реестр в следующих случаях:</w:t>
      </w:r>
    </w:p>
    <w:p w14:paraId="4BEB2284" w14:textId="77777777" w:rsidR="00BA0D2B" w:rsidRPr="00A2754D" w:rsidRDefault="00BA0D2B" w:rsidP="00E24608">
      <w:pPr>
        <w:pStyle w:val="Normal1"/>
        <w:numPr>
          <w:ilvl w:val="0"/>
          <w:numId w:val="39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Сообщение содержит информацию о договоре, заключенном на условиях генерального соглашения, если запись, содержащая информацию о таком генеральном соглашении, не внесена в реестр и информация о таком генеральном соглашении не предоставлена одновременно с сообщением о договоре ров;</w:t>
      </w:r>
    </w:p>
    <w:p w14:paraId="1697FD25" w14:textId="77777777" w:rsidR="00BA0D2B" w:rsidRPr="00A2754D" w:rsidRDefault="00BA0D2B" w:rsidP="00E24608">
      <w:pPr>
        <w:pStyle w:val="Normal1"/>
        <w:numPr>
          <w:ilvl w:val="0"/>
          <w:numId w:val="39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Сообщение получено от неуполномоченного лица;</w:t>
      </w:r>
    </w:p>
    <w:p w14:paraId="5FD72A17" w14:textId="77777777" w:rsidR="00BA0D2B" w:rsidRPr="00A2754D" w:rsidRDefault="00BA0D2B" w:rsidP="00E24608">
      <w:pPr>
        <w:pStyle w:val="Normal1"/>
        <w:numPr>
          <w:ilvl w:val="0"/>
          <w:numId w:val="39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В сообщении отсутствует уникальный код идентификации договора;</w:t>
      </w:r>
    </w:p>
    <w:p w14:paraId="5C76904B" w14:textId="77777777" w:rsidR="00BA0D2B" w:rsidRPr="00A2754D" w:rsidRDefault="00BA0D2B" w:rsidP="00E24608">
      <w:pPr>
        <w:pStyle w:val="Normal1"/>
        <w:numPr>
          <w:ilvl w:val="0"/>
          <w:numId w:val="39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Сообщение содержит уникальный код идентификации договора, содержащийся в записи, ранее внесенной в реестр, за исключением случаев, когда сообщение, содержащее уникальный код идентификации договора, предоставлено с целью изменения информации о договоре (генеральном соглашении), запись о котором ранее внесена в реестр;</w:t>
      </w:r>
    </w:p>
    <w:p w14:paraId="4B8A6237" w14:textId="77777777" w:rsidR="00BA0D2B" w:rsidRPr="00A2754D" w:rsidRDefault="00BA0D2B" w:rsidP="00E24608">
      <w:pPr>
        <w:pStyle w:val="Normal1"/>
        <w:numPr>
          <w:ilvl w:val="0"/>
          <w:numId w:val="39"/>
        </w:numPr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>В сообщении отсутствует международный код идентификации юридического лица - стороны договора, обязанной предоставлять информацию в репозитарий, а также информирующего лица.</w:t>
      </w:r>
    </w:p>
    <w:p w14:paraId="0B0ECA79" w14:textId="77777777" w:rsidR="00BA0D2B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06CEF152" w14:textId="77777777" w:rsidR="00C83849" w:rsidRPr="00A2754D" w:rsidRDefault="00C83849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 xml:space="preserve">В случае отказа репозитария во внесении записи в реестр в репозитарий может быть предоставлено новое сообщение не позднее трех рабочих дней со дня получения отказа. При этом </w:t>
      </w:r>
    </w:p>
    <w:p w14:paraId="4C0C8312" w14:textId="77777777" w:rsidR="00C83849" w:rsidRPr="00A2754D" w:rsidRDefault="00C83849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с</w:t>
      </w:r>
      <w:r w:rsidRPr="00A2754D">
        <w:rPr>
          <w:snapToGrid w:val="0"/>
          <w:sz w:val="22"/>
          <w:szCs w:val="22"/>
        </w:rPr>
        <w:t>рок предоставления информации в репозитарий считается соблюденным, за исключением случая повторного отказа репозитария во внесении записи в реестр.</w:t>
      </w:r>
    </w:p>
    <w:p w14:paraId="2B23D841" w14:textId="77777777" w:rsidR="00BA0D2B" w:rsidRDefault="00BA0D2B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297431DB" w14:textId="77777777" w:rsidR="00C83849" w:rsidRPr="00A2754D" w:rsidRDefault="00C83849" w:rsidP="00E24608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A2754D">
        <w:rPr>
          <w:snapToGrid w:val="0"/>
          <w:sz w:val="22"/>
          <w:szCs w:val="22"/>
        </w:rPr>
        <w:t xml:space="preserve">Нарушение стороной заключенного не на организованных торгах договора репо, договора, являющегося производным финансовым инструментом, договора иного вида, предусмотренного нормативными актами Банка России, установленных федеральным законом и (или) нормативными актами Банка России порядка и (или) сроков предоставления информации об указанных договорах и (или) генеральном соглашении (едином договоре) в репозитарий или Банк России либо предоставление неполной и (или) </w:t>
      </w:r>
      <w:r>
        <w:rPr>
          <w:snapToGrid w:val="0"/>
          <w:sz w:val="22"/>
          <w:szCs w:val="22"/>
        </w:rPr>
        <w:t>недостоверной информации влечет н</w:t>
      </w:r>
      <w:r w:rsidRPr="00A2754D">
        <w:rPr>
          <w:snapToGrid w:val="0"/>
          <w:sz w:val="22"/>
          <w:szCs w:val="22"/>
        </w:rPr>
        <w:t>аложение административного штрафа на должностных лиц и/или на юридических лиц.</w:t>
      </w:r>
    </w:p>
    <w:p w14:paraId="4A0CFF84" w14:textId="77777777" w:rsidR="003D6941" w:rsidRDefault="003D6941" w:rsidP="00E24608">
      <w:pPr>
        <w:spacing w:after="0" w:line="23" w:lineRule="atLeast"/>
        <w:jc w:val="both"/>
      </w:pPr>
    </w:p>
    <w:p w14:paraId="11A03B76" w14:textId="77777777" w:rsidR="00CB79DA" w:rsidRPr="008E43B6" w:rsidRDefault="00CB79DA" w:rsidP="00EF363F">
      <w:pPr>
        <w:spacing w:after="0" w:line="23" w:lineRule="atLeast"/>
      </w:pPr>
    </w:p>
    <w:sectPr w:rsidR="00CB79DA" w:rsidRPr="008E43B6" w:rsidSect="009B57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852A8" w14:textId="77777777" w:rsidR="00871540" w:rsidRDefault="00871540" w:rsidP="00F3312E">
      <w:pPr>
        <w:spacing w:after="0" w:line="240" w:lineRule="auto"/>
      </w:pPr>
      <w:r>
        <w:separator/>
      </w:r>
    </w:p>
  </w:endnote>
  <w:endnote w:type="continuationSeparator" w:id="0">
    <w:p w14:paraId="220927D8" w14:textId="77777777" w:rsidR="00871540" w:rsidRDefault="00871540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13686" w14:textId="77777777" w:rsidR="00C40D04" w:rsidRDefault="00C40D04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E265" w14:textId="77777777" w:rsidR="00C40D04" w:rsidRDefault="00C40D04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318EC" w14:textId="77777777" w:rsidR="00C40D04" w:rsidRDefault="00C40D04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79D6D" w14:textId="77777777" w:rsidR="00871540" w:rsidRDefault="00871540" w:rsidP="00F3312E">
      <w:pPr>
        <w:spacing w:after="0" w:line="240" w:lineRule="auto"/>
      </w:pPr>
      <w:r>
        <w:separator/>
      </w:r>
    </w:p>
  </w:footnote>
  <w:footnote w:type="continuationSeparator" w:id="0">
    <w:p w14:paraId="51297721" w14:textId="77777777" w:rsidR="00871540" w:rsidRDefault="00871540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212C" w14:textId="77777777" w:rsidR="0009595D" w:rsidRDefault="0009595D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09595D" w:rsidRDefault="0009595D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298A3" w14:textId="2EE823F6" w:rsidR="0009595D" w:rsidRDefault="0009595D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E24608">
      <w:rPr>
        <w:rStyle w:val="aff2"/>
        <w:noProof/>
      </w:rPr>
      <w:t>3</w:t>
    </w:r>
    <w:r>
      <w:rPr>
        <w:rStyle w:val="aff2"/>
      </w:rPr>
      <w:fldChar w:fldCharType="end"/>
    </w:r>
  </w:p>
  <w:p w14:paraId="2AA0A439" w14:textId="7DE9B06B" w:rsidR="0009595D" w:rsidRDefault="0009595D">
    <w:pPr>
      <w:pStyle w:val="af8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D5F9" w14:textId="77777777" w:rsidR="00C40D04" w:rsidRDefault="00C40D04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69B8"/>
    <w:multiLevelType w:val="hybridMultilevel"/>
    <w:tmpl w:val="1742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683C"/>
    <w:multiLevelType w:val="hybridMultilevel"/>
    <w:tmpl w:val="1430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5A2"/>
    <w:multiLevelType w:val="hybridMultilevel"/>
    <w:tmpl w:val="46E0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6E09"/>
    <w:multiLevelType w:val="hybridMultilevel"/>
    <w:tmpl w:val="2BB0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23C"/>
    <w:multiLevelType w:val="hybridMultilevel"/>
    <w:tmpl w:val="B99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20B8"/>
    <w:multiLevelType w:val="hybridMultilevel"/>
    <w:tmpl w:val="DCEE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2559"/>
    <w:multiLevelType w:val="hybridMultilevel"/>
    <w:tmpl w:val="0A4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3018"/>
    <w:multiLevelType w:val="hybridMultilevel"/>
    <w:tmpl w:val="AD66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0E5"/>
    <w:multiLevelType w:val="hybridMultilevel"/>
    <w:tmpl w:val="A19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4369F"/>
    <w:multiLevelType w:val="hybridMultilevel"/>
    <w:tmpl w:val="78D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91A38"/>
    <w:multiLevelType w:val="hybridMultilevel"/>
    <w:tmpl w:val="29C8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05136"/>
    <w:multiLevelType w:val="hybridMultilevel"/>
    <w:tmpl w:val="9064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A4576"/>
    <w:multiLevelType w:val="hybridMultilevel"/>
    <w:tmpl w:val="2AF2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14832"/>
    <w:multiLevelType w:val="hybridMultilevel"/>
    <w:tmpl w:val="D42E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04B0F"/>
    <w:multiLevelType w:val="hybridMultilevel"/>
    <w:tmpl w:val="613A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2160"/>
    <w:multiLevelType w:val="hybridMultilevel"/>
    <w:tmpl w:val="3A24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35A48"/>
    <w:multiLevelType w:val="hybridMultilevel"/>
    <w:tmpl w:val="A218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51A32"/>
    <w:multiLevelType w:val="hybridMultilevel"/>
    <w:tmpl w:val="45A8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C0A62"/>
    <w:multiLevelType w:val="hybridMultilevel"/>
    <w:tmpl w:val="0D6E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55149"/>
    <w:multiLevelType w:val="hybridMultilevel"/>
    <w:tmpl w:val="5A8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02BF3"/>
    <w:multiLevelType w:val="hybridMultilevel"/>
    <w:tmpl w:val="75C0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A5703"/>
    <w:multiLevelType w:val="hybridMultilevel"/>
    <w:tmpl w:val="9BA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A20DD"/>
    <w:multiLevelType w:val="hybridMultilevel"/>
    <w:tmpl w:val="D1A0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377D3"/>
    <w:multiLevelType w:val="hybridMultilevel"/>
    <w:tmpl w:val="644C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4166B"/>
    <w:multiLevelType w:val="hybridMultilevel"/>
    <w:tmpl w:val="518E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03837"/>
    <w:multiLevelType w:val="hybridMultilevel"/>
    <w:tmpl w:val="B52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CF4A3C"/>
    <w:multiLevelType w:val="hybridMultilevel"/>
    <w:tmpl w:val="490E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31FFB"/>
    <w:multiLevelType w:val="hybridMultilevel"/>
    <w:tmpl w:val="33D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F6035"/>
    <w:multiLevelType w:val="hybridMultilevel"/>
    <w:tmpl w:val="33B0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F6332"/>
    <w:multiLevelType w:val="hybridMultilevel"/>
    <w:tmpl w:val="A15A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60382"/>
    <w:multiLevelType w:val="hybridMultilevel"/>
    <w:tmpl w:val="7720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F6727"/>
    <w:multiLevelType w:val="hybridMultilevel"/>
    <w:tmpl w:val="0C7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02874"/>
    <w:multiLevelType w:val="hybridMultilevel"/>
    <w:tmpl w:val="445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87A92"/>
    <w:multiLevelType w:val="hybridMultilevel"/>
    <w:tmpl w:val="2A2E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24A79"/>
    <w:multiLevelType w:val="hybridMultilevel"/>
    <w:tmpl w:val="915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A45D8"/>
    <w:multiLevelType w:val="hybridMultilevel"/>
    <w:tmpl w:val="4992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17B69"/>
    <w:multiLevelType w:val="hybridMultilevel"/>
    <w:tmpl w:val="7AAE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D6CD4"/>
    <w:multiLevelType w:val="hybridMultilevel"/>
    <w:tmpl w:val="7C60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346B4"/>
    <w:multiLevelType w:val="hybridMultilevel"/>
    <w:tmpl w:val="2F9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E6A87"/>
    <w:multiLevelType w:val="hybridMultilevel"/>
    <w:tmpl w:val="3BF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6F31"/>
    <w:multiLevelType w:val="hybridMultilevel"/>
    <w:tmpl w:val="14AE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85BE2"/>
    <w:multiLevelType w:val="hybridMultilevel"/>
    <w:tmpl w:val="4A44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87005"/>
    <w:multiLevelType w:val="hybridMultilevel"/>
    <w:tmpl w:val="783E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60917"/>
    <w:multiLevelType w:val="hybridMultilevel"/>
    <w:tmpl w:val="C174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9"/>
  </w:num>
  <w:num w:numId="3">
    <w:abstractNumId w:val="27"/>
  </w:num>
  <w:num w:numId="4">
    <w:abstractNumId w:val="15"/>
  </w:num>
  <w:num w:numId="5">
    <w:abstractNumId w:val="19"/>
  </w:num>
  <w:num w:numId="6">
    <w:abstractNumId w:val="6"/>
  </w:num>
  <w:num w:numId="7">
    <w:abstractNumId w:val="26"/>
  </w:num>
  <w:num w:numId="8">
    <w:abstractNumId w:val="31"/>
  </w:num>
  <w:num w:numId="9">
    <w:abstractNumId w:val="23"/>
  </w:num>
  <w:num w:numId="10">
    <w:abstractNumId w:val="38"/>
  </w:num>
  <w:num w:numId="11">
    <w:abstractNumId w:val="12"/>
  </w:num>
  <w:num w:numId="12">
    <w:abstractNumId w:val="33"/>
  </w:num>
  <w:num w:numId="13">
    <w:abstractNumId w:val="34"/>
  </w:num>
  <w:num w:numId="14">
    <w:abstractNumId w:val="35"/>
  </w:num>
  <w:num w:numId="15">
    <w:abstractNumId w:val="10"/>
  </w:num>
  <w:num w:numId="16">
    <w:abstractNumId w:val="32"/>
  </w:num>
  <w:num w:numId="17">
    <w:abstractNumId w:val="37"/>
  </w:num>
  <w:num w:numId="18">
    <w:abstractNumId w:val="42"/>
  </w:num>
  <w:num w:numId="19">
    <w:abstractNumId w:val="18"/>
  </w:num>
  <w:num w:numId="20">
    <w:abstractNumId w:val="0"/>
  </w:num>
  <w:num w:numId="21">
    <w:abstractNumId w:val="20"/>
  </w:num>
  <w:num w:numId="22">
    <w:abstractNumId w:val="11"/>
  </w:num>
  <w:num w:numId="23">
    <w:abstractNumId w:val="13"/>
  </w:num>
  <w:num w:numId="24">
    <w:abstractNumId w:val="36"/>
  </w:num>
  <w:num w:numId="25">
    <w:abstractNumId w:val="43"/>
  </w:num>
  <w:num w:numId="26">
    <w:abstractNumId w:val="21"/>
  </w:num>
  <w:num w:numId="27">
    <w:abstractNumId w:val="8"/>
  </w:num>
  <w:num w:numId="28">
    <w:abstractNumId w:val="7"/>
  </w:num>
  <w:num w:numId="29">
    <w:abstractNumId w:val="30"/>
  </w:num>
  <w:num w:numId="30">
    <w:abstractNumId w:val="5"/>
  </w:num>
  <w:num w:numId="31">
    <w:abstractNumId w:val="1"/>
  </w:num>
  <w:num w:numId="32">
    <w:abstractNumId w:val="22"/>
  </w:num>
  <w:num w:numId="33">
    <w:abstractNumId w:val="2"/>
  </w:num>
  <w:num w:numId="34">
    <w:abstractNumId w:val="17"/>
  </w:num>
  <w:num w:numId="35">
    <w:abstractNumId w:val="14"/>
  </w:num>
  <w:num w:numId="36">
    <w:abstractNumId w:val="28"/>
  </w:num>
  <w:num w:numId="37">
    <w:abstractNumId w:val="40"/>
  </w:num>
  <w:num w:numId="38">
    <w:abstractNumId w:val="9"/>
  </w:num>
  <w:num w:numId="39">
    <w:abstractNumId w:val="39"/>
  </w:num>
  <w:num w:numId="40">
    <w:abstractNumId w:val="16"/>
  </w:num>
  <w:num w:numId="41">
    <w:abstractNumId w:val="4"/>
  </w:num>
  <w:num w:numId="42">
    <w:abstractNumId w:val="3"/>
  </w:num>
  <w:num w:numId="43">
    <w:abstractNumId w:val="24"/>
  </w:num>
  <w:num w:numId="44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9595D"/>
    <w:rsid w:val="000B39B9"/>
    <w:rsid w:val="000D2783"/>
    <w:rsid w:val="00150B0D"/>
    <w:rsid w:val="00164BF6"/>
    <w:rsid w:val="001706ED"/>
    <w:rsid w:val="001B76CB"/>
    <w:rsid w:val="001E057D"/>
    <w:rsid w:val="00261D56"/>
    <w:rsid w:val="002A39C4"/>
    <w:rsid w:val="002E245B"/>
    <w:rsid w:val="002F2E40"/>
    <w:rsid w:val="00313668"/>
    <w:rsid w:val="0036048A"/>
    <w:rsid w:val="00361CC1"/>
    <w:rsid w:val="003747EC"/>
    <w:rsid w:val="003A4FA7"/>
    <w:rsid w:val="003C0957"/>
    <w:rsid w:val="003D6941"/>
    <w:rsid w:val="003E6637"/>
    <w:rsid w:val="00405D65"/>
    <w:rsid w:val="00423894"/>
    <w:rsid w:val="004421F6"/>
    <w:rsid w:val="004E0E07"/>
    <w:rsid w:val="00507328"/>
    <w:rsid w:val="0051010D"/>
    <w:rsid w:val="0051311E"/>
    <w:rsid w:val="00527521"/>
    <w:rsid w:val="00547FD8"/>
    <w:rsid w:val="005A6E58"/>
    <w:rsid w:val="005C3615"/>
    <w:rsid w:val="006174AC"/>
    <w:rsid w:val="006A006F"/>
    <w:rsid w:val="006A1AEC"/>
    <w:rsid w:val="006A5779"/>
    <w:rsid w:val="006C4006"/>
    <w:rsid w:val="00710A09"/>
    <w:rsid w:val="00727F98"/>
    <w:rsid w:val="0073731A"/>
    <w:rsid w:val="00757184"/>
    <w:rsid w:val="00767779"/>
    <w:rsid w:val="00773651"/>
    <w:rsid w:val="00781A11"/>
    <w:rsid w:val="007855E2"/>
    <w:rsid w:val="007D476C"/>
    <w:rsid w:val="007F64C0"/>
    <w:rsid w:val="008408F6"/>
    <w:rsid w:val="00871540"/>
    <w:rsid w:val="00892D8C"/>
    <w:rsid w:val="008C6D33"/>
    <w:rsid w:val="008E43B6"/>
    <w:rsid w:val="009438D9"/>
    <w:rsid w:val="00963C0D"/>
    <w:rsid w:val="009B3A1E"/>
    <w:rsid w:val="009B5723"/>
    <w:rsid w:val="00A323F4"/>
    <w:rsid w:val="00A37318"/>
    <w:rsid w:val="00A608F5"/>
    <w:rsid w:val="00A943E8"/>
    <w:rsid w:val="00AB7AC9"/>
    <w:rsid w:val="00B4145F"/>
    <w:rsid w:val="00B50DAF"/>
    <w:rsid w:val="00B5224B"/>
    <w:rsid w:val="00B65142"/>
    <w:rsid w:val="00BA0D2B"/>
    <w:rsid w:val="00BD025B"/>
    <w:rsid w:val="00BD1F75"/>
    <w:rsid w:val="00BD283C"/>
    <w:rsid w:val="00BD7B91"/>
    <w:rsid w:val="00BE188C"/>
    <w:rsid w:val="00BF1419"/>
    <w:rsid w:val="00C207E1"/>
    <w:rsid w:val="00C40D04"/>
    <w:rsid w:val="00C67E9E"/>
    <w:rsid w:val="00C83849"/>
    <w:rsid w:val="00CB79DA"/>
    <w:rsid w:val="00D61EC1"/>
    <w:rsid w:val="00D972CE"/>
    <w:rsid w:val="00DD7689"/>
    <w:rsid w:val="00E12F4D"/>
    <w:rsid w:val="00E23B6B"/>
    <w:rsid w:val="00E24608"/>
    <w:rsid w:val="00E4744F"/>
    <w:rsid w:val="00EC67B8"/>
    <w:rsid w:val="00EF363F"/>
    <w:rsid w:val="00F25260"/>
    <w:rsid w:val="00F3312E"/>
    <w:rsid w:val="00F74566"/>
    <w:rsid w:val="00F8037A"/>
    <w:rsid w:val="00F8285D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2E07E"/>
  <w14:defaultImageDpi w14:val="300"/>
  <w15:docId w15:val="{B24010B6-15F7-41BC-862E-1729AB6A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D4640F-F869-4903-898A-127400B42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7E2F1C-9B37-40BB-B148-E8C44167E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FFD6C-D47C-4AB8-8F6A-6973D3549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2955</Words>
  <Characters>16850</Characters>
  <Application>Microsoft Office Word</Application>
  <DocSecurity>0</DocSecurity>
  <Lines>140</Lines>
  <Paragraphs>39</Paragraphs>
  <ScaleCrop>false</ScaleCrop>
  <Company/>
  <LinksUpToDate>false</LinksUpToDate>
  <CharactersWithSpaces>19766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Петр Кирюхов</cp:lastModifiedBy>
  <cp:revision>48</cp:revision>
  <dcterms:created xsi:type="dcterms:W3CDTF">2017-02-20T09:10:00Z</dcterms:created>
  <dcterms:modified xsi:type="dcterms:W3CDTF">2020-05-05T16:50:00Z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