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B18BBD" w14:textId="24E03069" w:rsidR="008C3130" w:rsidRPr="0033150D" w:rsidRDefault="00C82ED5" w:rsidP="008C3130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Глава </w:t>
      </w:r>
      <w:r w:rsidR="00140A52">
        <w:rPr>
          <w:rFonts w:ascii="Times New Roman" w:hAnsi="Times New Roman" w:cs="Times New Roman"/>
          <w:color w:val="auto"/>
          <w:sz w:val="24"/>
          <w:szCs w:val="24"/>
        </w:rPr>
        <w:t>2</w:t>
      </w:r>
      <w:r w:rsidR="008C3130" w:rsidRPr="0033150D">
        <w:rPr>
          <w:rFonts w:ascii="Times New Roman" w:hAnsi="Times New Roman" w:cs="Times New Roman"/>
          <w:color w:val="auto"/>
          <w:sz w:val="24"/>
          <w:szCs w:val="24"/>
        </w:rPr>
        <w:t>. Обеспечение прав и законных интересов инвесторов на рынке ценных бумаг</w:t>
      </w:r>
    </w:p>
    <w:p w14:paraId="1E4A9300" w14:textId="77777777" w:rsidR="008C3130" w:rsidRPr="00647C0A" w:rsidRDefault="008C3130" w:rsidP="008C3130">
      <w:pPr>
        <w:spacing w:after="0" w:line="23" w:lineRule="atLeast"/>
        <w:rPr>
          <w:rFonts w:cs="Times New Roman"/>
        </w:rPr>
      </w:pPr>
    </w:p>
    <w:p w14:paraId="2DF62976" w14:textId="3E3DF638" w:rsidR="008C3130" w:rsidRPr="0033150D" w:rsidRDefault="00C82ED5" w:rsidP="008C3130">
      <w:pPr>
        <w:pStyle w:val="1"/>
        <w:spacing w:before="0" w:line="23" w:lineRule="atLeast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Тем</w:t>
      </w:r>
      <w:r w:rsidR="00140A52">
        <w:rPr>
          <w:rFonts w:ascii="Times New Roman" w:hAnsi="Times New Roman" w:cs="Times New Roman"/>
          <w:color w:val="auto"/>
          <w:sz w:val="24"/>
          <w:szCs w:val="24"/>
        </w:rPr>
        <w:t>ы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40A52">
        <w:rPr>
          <w:rFonts w:ascii="Times New Roman" w:hAnsi="Times New Roman" w:cs="Times New Roman"/>
          <w:color w:val="auto"/>
          <w:sz w:val="24"/>
          <w:szCs w:val="24"/>
        </w:rPr>
        <w:t>2.1-2.2</w:t>
      </w:r>
      <w:r w:rsidR="008C3130" w:rsidRPr="0033150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40A52">
        <w:rPr>
          <w:rFonts w:ascii="Times New Roman" w:hAnsi="Times New Roman" w:cs="Times New Roman"/>
          <w:color w:val="auto"/>
          <w:sz w:val="24"/>
          <w:szCs w:val="24"/>
        </w:rPr>
        <w:t>Конфликт интересов. Требования к рекламе</w:t>
      </w:r>
    </w:p>
    <w:p w14:paraId="5782259E" w14:textId="77777777" w:rsidR="00EF363F" w:rsidRDefault="00EF363F" w:rsidP="00EF363F">
      <w:pPr>
        <w:spacing w:after="0" w:line="23" w:lineRule="atLeast"/>
      </w:pPr>
    </w:p>
    <w:p w14:paraId="57A17220" w14:textId="1ED7B88A" w:rsidR="008C3130" w:rsidRPr="00046656" w:rsidRDefault="008C3130" w:rsidP="00EF363F">
      <w:pPr>
        <w:spacing w:after="0" w:line="23" w:lineRule="atLeast"/>
        <w:rPr>
          <w:b/>
        </w:rPr>
      </w:pPr>
      <w:r w:rsidRPr="00046656">
        <w:rPr>
          <w:b/>
        </w:rPr>
        <w:t>Общие положения</w:t>
      </w:r>
    </w:p>
    <w:p w14:paraId="6B777167" w14:textId="77777777" w:rsidR="008C3130" w:rsidRDefault="008C3130" w:rsidP="00EF363F">
      <w:pPr>
        <w:spacing w:after="0" w:line="23" w:lineRule="atLeast"/>
      </w:pPr>
    </w:p>
    <w:p w14:paraId="318FB33E" w14:textId="77777777" w:rsidR="00FE0EB9" w:rsidRPr="00647C0A" w:rsidRDefault="00FE0EB9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Б</w:t>
      </w:r>
      <w:r w:rsidRPr="00647C0A">
        <w:rPr>
          <w:rFonts w:ascii="Times New Roman" w:hAnsi="Times New Roman"/>
          <w:sz w:val="22"/>
          <w:szCs w:val="22"/>
        </w:rPr>
        <w:t>азовый стандарт защиты прав и интересов физических и юридических лиц - получателей финансовых услуг, оказываемых брокерами и управляющими, содержащий в том числе правила уведомления клиентов о рисках, связанных с приобретением иностранных ценных бумаг</w:t>
      </w:r>
      <w:r w:rsidRPr="00B9170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обязаны </w:t>
      </w:r>
      <w:r w:rsidRPr="00647C0A">
        <w:rPr>
          <w:rFonts w:ascii="Times New Roman" w:hAnsi="Times New Roman"/>
          <w:sz w:val="22"/>
          <w:szCs w:val="22"/>
        </w:rPr>
        <w:t>разработать:</w:t>
      </w:r>
    </w:p>
    <w:p w14:paraId="70DC21D8" w14:textId="77777777" w:rsidR="00FE0EB9" w:rsidRPr="00647C0A" w:rsidRDefault="00FE0EB9" w:rsidP="008A7B5A">
      <w:pPr>
        <w:pStyle w:val="a7"/>
        <w:numPr>
          <w:ilvl w:val="0"/>
          <w:numId w:val="2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Саморегулируемая организация в сфере финансового рынка, объединяющая брокеров.</w:t>
      </w:r>
    </w:p>
    <w:p w14:paraId="480B5C62" w14:textId="77777777" w:rsidR="00FE0EB9" w:rsidRPr="00647C0A" w:rsidRDefault="00FE0EB9" w:rsidP="008A7B5A">
      <w:pPr>
        <w:pStyle w:val="a7"/>
        <w:numPr>
          <w:ilvl w:val="0"/>
          <w:numId w:val="2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Саморегулируемая организация в сфере финансового рынка, объединяющая управляющих</w:t>
      </w:r>
    </w:p>
    <w:p w14:paraId="76E3F609" w14:textId="77777777" w:rsidR="00FE0EB9" w:rsidRDefault="00FE0EB9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2262C0B1" w14:textId="77777777" w:rsidR="00FE0EB9" w:rsidRPr="00647C0A" w:rsidRDefault="00FE0EB9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Базовый стандарт защиты прав и интересов физических и юридических лиц - получателей финансовых услуг, оказываемых брокерами и управляющим</w:t>
      </w:r>
      <w:r>
        <w:rPr>
          <w:rFonts w:ascii="Times New Roman" w:hAnsi="Times New Roman"/>
          <w:sz w:val="22"/>
          <w:szCs w:val="22"/>
        </w:rPr>
        <w:t>и, должен в том числе содержать п</w:t>
      </w:r>
      <w:r w:rsidRPr="00647C0A">
        <w:rPr>
          <w:rFonts w:ascii="Times New Roman" w:hAnsi="Times New Roman"/>
          <w:sz w:val="22"/>
          <w:szCs w:val="22"/>
        </w:rPr>
        <w:t>равила уведомления клиентов о рисках, связанных с приобретением иностранных ценных бумаг.</w:t>
      </w:r>
    </w:p>
    <w:p w14:paraId="007C09C6" w14:textId="0AB28467" w:rsidR="00FE0EB9" w:rsidRDefault="00FE0EB9" w:rsidP="008A7B5A">
      <w:pPr>
        <w:tabs>
          <w:tab w:val="left" w:pos="3880"/>
        </w:tabs>
        <w:spacing w:after="0" w:line="23" w:lineRule="atLeast"/>
        <w:jc w:val="both"/>
      </w:pPr>
    </w:p>
    <w:p w14:paraId="3D33E215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 соответствии с законодательством о защите прав инвесторов компенсационные фонды могут создавать</w:t>
      </w:r>
      <w:r>
        <w:rPr>
          <w:rFonts w:ascii="Times New Roman" w:hAnsi="Times New Roman"/>
          <w:sz w:val="22"/>
          <w:szCs w:val="22"/>
        </w:rPr>
        <w:t xml:space="preserve"> с</w:t>
      </w:r>
      <w:r w:rsidRPr="00647C0A">
        <w:rPr>
          <w:rFonts w:ascii="Times New Roman" w:hAnsi="Times New Roman"/>
          <w:sz w:val="22"/>
          <w:szCs w:val="22"/>
        </w:rPr>
        <w:t>аморегулируемые организации</w:t>
      </w:r>
    </w:p>
    <w:p w14:paraId="0A750A69" w14:textId="77777777" w:rsidR="005A5367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471D1C43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 соответствии с законодательством о защите прав инвесторов компенсационные фонды создаются саморегу</w:t>
      </w:r>
      <w:r>
        <w:rPr>
          <w:rFonts w:ascii="Times New Roman" w:hAnsi="Times New Roman"/>
          <w:sz w:val="22"/>
          <w:szCs w:val="22"/>
        </w:rPr>
        <w:t>лируемыми организациями в целях в</w:t>
      </w:r>
      <w:r w:rsidRPr="00647C0A">
        <w:rPr>
          <w:rFonts w:ascii="Times New Roman" w:hAnsi="Times New Roman"/>
          <w:sz w:val="22"/>
          <w:szCs w:val="22"/>
        </w:rPr>
        <w:t>озмещения понесенного инвесторами - физическими лицами ущерба в результате деятельности профессиональных участников - членов саморегулируемой организации</w:t>
      </w:r>
    </w:p>
    <w:p w14:paraId="16E3D375" w14:textId="77777777" w:rsidR="005A5367" w:rsidRDefault="005A5367" w:rsidP="008A7B5A">
      <w:pPr>
        <w:tabs>
          <w:tab w:val="left" w:pos="3880"/>
        </w:tabs>
        <w:spacing w:after="0" w:line="23" w:lineRule="atLeast"/>
        <w:jc w:val="both"/>
      </w:pPr>
    </w:p>
    <w:p w14:paraId="5D00E9D2" w14:textId="77777777" w:rsidR="00FE0EB9" w:rsidRPr="00647C0A" w:rsidRDefault="00FE0EB9" w:rsidP="008A7B5A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Если ценные бумаги иностранных эмитентов, не допущены к публичному размещению и (или) публичному обращению в Российской Федерации, то:</w:t>
      </w:r>
    </w:p>
    <w:p w14:paraId="071702E5" w14:textId="77777777" w:rsidR="00FE0EB9" w:rsidRPr="00647C0A" w:rsidRDefault="00FE0EB9" w:rsidP="008A7B5A">
      <w:pPr>
        <w:pStyle w:val="Normal1"/>
        <w:numPr>
          <w:ilvl w:val="0"/>
          <w:numId w:val="23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 xml:space="preserve">Такие ценные бумаги не могут предлагаться в любой форме и любыми средствами, в том числе с использованием рекламы, неограниченному (неопределенному) кругу лиц, </w:t>
      </w:r>
    </w:p>
    <w:p w14:paraId="18D6CA5C" w14:textId="77777777" w:rsidR="00FE0EB9" w:rsidRPr="00647C0A" w:rsidRDefault="00FE0EB9" w:rsidP="008A7B5A">
      <w:pPr>
        <w:pStyle w:val="Normal1"/>
        <w:numPr>
          <w:ilvl w:val="0"/>
          <w:numId w:val="23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Такие ценные бумаги не могут предлагаться в любой форме и любыми средствами, в том числе с использованием рекламы лицам, не являющимся квалифицированными инвесторами.</w:t>
      </w:r>
    </w:p>
    <w:p w14:paraId="031DE39F" w14:textId="77777777" w:rsidR="00FE0EB9" w:rsidRPr="00647C0A" w:rsidRDefault="00FE0EB9" w:rsidP="008A7B5A">
      <w:pPr>
        <w:pStyle w:val="Normal1"/>
        <w:numPr>
          <w:ilvl w:val="0"/>
          <w:numId w:val="23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На обращение таких ценных бумаг распространяются требования и ограничения, установленные Федеральным законом «О рынке ценных бумаг» для обращения ценных бумаг, предназначенных для квалифицированных инвесторов.</w:t>
      </w:r>
    </w:p>
    <w:p w14:paraId="468E5287" w14:textId="77777777" w:rsidR="00FE0EB9" w:rsidRDefault="00FE0EB9" w:rsidP="008A7B5A">
      <w:pPr>
        <w:spacing w:after="0" w:line="23" w:lineRule="atLeast"/>
        <w:jc w:val="both"/>
      </w:pPr>
    </w:p>
    <w:p w14:paraId="7E431383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П</w:t>
      </w:r>
      <w:r w:rsidRPr="00647C0A">
        <w:rPr>
          <w:rFonts w:ascii="Times New Roman" w:hAnsi="Times New Roman"/>
          <w:sz w:val="22"/>
          <w:szCs w:val="22"/>
        </w:rPr>
        <w:t xml:space="preserve">оследствия </w:t>
      </w:r>
      <w:r>
        <w:rPr>
          <w:rFonts w:ascii="Times New Roman" w:hAnsi="Times New Roman"/>
          <w:sz w:val="22"/>
          <w:szCs w:val="22"/>
        </w:rPr>
        <w:t>заключения</w:t>
      </w:r>
      <w:r w:rsidRPr="00647C0A">
        <w:rPr>
          <w:rFonts w:ascii="Times New Roman" w:hAnsi="Times New Roman"/>
          <w:sz w:val="22"/>
          <w:szCs w:val="22"/>
        </w:rPr>
        <w:t xml:space="preserve"> профессиональным участником рынка ценных бумаг договоров с инвестором, содержащих условия, ограничивающие права инвесторов:</w:t>
      </w:r>
    </w:p>
    <w:p w14:paraId="6E507A8E" w14:textId="77777777" w:rsidR="005A5367" w:rsidRPr="00647C0A" w:rsidRDefault="005A5367" w:rsidP="008A7B5A">
      <w:pPr>
        <w:pStyle w:val="a7"/>
        <w:numPr>
          <w:ilvl w:val="0"/>
          <w:numId w:val="2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Условия заключенных договоров, ограничивающих права инвесторов, являются ничтожными;</w:t>
      </w:r>
    </w:p>
    <w:p w14:paraId="207A7E11" w14:textId="77777777" w:rsidR="005A5367" w:rsidRDefault="005A5367" w:rsidP="008A7B5A">
      <w:pPr>
        <w:pStyle w:val="a7"/>
        <w:numPr>
          <w:ilvl w:val="0"/>
          <w:numId w:val="2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Лицензия профессионального участника может быть приостановлена;</w:t>
      </w:r>
    </w:p>
    <w:p w14:paraId="16431BFC" w14:textId="77777777" w:rsidR="005A5367" w:rsidRPr="00647C0A" w:rsidRDefault="005A5367" w:rsidP="008A7B5A">
      <w:pPr>
        <w:pStyle w:val="a7"/>
        <w:spacing w:line="23" w:lineRule="atLeast"/>
        <w:ind w:firstLine="708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или</w:t>
      </w:r>
    </w:p>
    <w:p w14:paraId="279542CD" w14:textId="77777777" w:rsidR="005A5367" w:rsidRPr="00647C0A" w:rsidRDefault="005A5367" w:rsidP="008A7B5A">
      <w:pPr>
        <w:pStyle w:val="a7"/>
        <w:numPr>
          <w:ilvl w:val="0"/>
          <w:numId w:val="2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Лицензия профессионального участника может быть аннулирована.</w:t>
      </w:r>
    </w:p>
    <w:p w14:paraId="6A774FF3" w14:textId="77777777" w:rsidR="005A5367" w:rsidRDefault="005A5367" w:rsidP="008A7B5A">
      <w:pPr>
        <w:spacing w:after="0" w:line="23" w:lineRule="atLeast"/>
        <w:jc w:val="both"/>
      </w:pPr>
    </w:p>
    <w:p w14:paraId="0AFEF206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 соответствии с законодательством о защите прав инвесторов, профессиональный участник при предложении ему услуг на рынке ценных бумаг</w:t>
      </w:r>
      <w:r w:rsidRPr="00FC219E">
        <w:rPr>
          <w:rFonts w:ascii="Times New Roman" w:hAnsi="Times New Roman"/>
          <w:sz w:val="22"/>
          <w:szCs w:val="22"/>
        </w:rPr>
        <w:t xml:space="preserve"> </w:t>
      </w:r>
      <w:r w:rsidRPr="00647C0A">
        <w:rPr>
          <w:rFonts w:ascii="Times New Roman" w:hAnsi="Times New Roman"/>
          <w:sz w:val="22"/>
          <w:szCs w:val="22"/>
        </w:rPr>
        <w:t>обязан предоставить по требованию инвестора</w:t>
      </w:r>
      <w:r>
        <w:rPr>
          <w:rFonts w:ascii="Times New Roman" w:hAnsi="Times New Roman"/>
          <w:sz w:val="22"/>
          <w:szCs w:val="22"/>
        </w:rPr>
        <w:t>:</w:t>
      </w:r>
    </w:p>
    <w:p w14:paraId="71977AA9" w14:textId="77777777" w:rsidR="005A5367" w:rsidRPr="00647C0A" w:rsidRDefault="005A5367" w:rsidP="008A7B5A">
      <w:pPr>
        <w:pStyle w:val="a7"/>
        <w:numPr>
          <w:ilvl w:val="0"/>
          <w:numId w:val="2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Копию лицензии на осуществление профессиональной деятельности;</w:t>
      </w:r>
    </w:p>
    <w:p w14:paraId="5B49A539" w14:textId="77777777" w:rsidR="005A5367" w:rsidRPr="00647C0A" w:rsidRDefault="005A5367" w:rsidP="008A7B5A">
      <w:pPr>
        <w:pStyle w:val="a7"/>
        <w:numPr>
          <w:ilvl w:val="0"/>
          <w:numId w:val="2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Копию документа о государственной регистрации профессионального участника в качестве юридического лица;</w:t>
      </w:r>
    </w:p>
    <w:p w14:paraId="3354510D" w14:textId="77777777" w:rsidR="005A5367" w:rsidRPr="00647C0A" w:rsidRDefault="005A5367" w:rsidP="008A7B5A">
      <w:pPr>
        <w:pStyle w:val="a7"/>
        <w:numPr>
          <w:ilvl w:val="0"/>
          <w:numId w:val="25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Сведения об уставном капитале, размере собственных средств и резервном фонде профессионального участника;</w:t>
      </w:r>
    </w:p>
    <w:p w14:paraId="44B6354A" w14:textId="77777777" w:rsidR="005A5367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1D27425C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По требованию инвестора профессиональный участник рынка ценных бумаг </w:t>
      </w:r>
      <w:r>
        <w:rPr>
          <w:rFonts w:ascii="Times New Roman" w:hAnsi="Times New Roman"/>
          <w:sz w:val="22"/>
          <w:szCs w:val="22"/>
        </w:rPr>
        <w:t xml:space="preserve">НЕ </w:t>
      </w:r>
      <w:r w:rsidRPr="00647C0A">
        <w:rPr>
          <w:rFonts w:ascii="Times New Roman" w:hAnsi="Times New Roman"/>
          <w:sz w:val="22"/>
          <w:szCs w:val="22"/>
        </w:rPr>
        <w:t xml:space="preserve">обязан предоставить ему </w:t>
      </w:r>
      <w:r>
        <w:rPr>
          <w:rFonts w:ascii="Times New Roman" w:hAnsi="Times New Roman"/>
          <w:sz w:val="22"/>
          <w:szCs w:val="22"/>
        </w:rPr>
        <w:t>о</w:t>
      </w:r>
      <w:r w:rsidRPr="00647C0A">
        <w:rPr>
          <w:rFonts w:ascii="Times New Roman" w:hAnsi="Times New Roman"/>
          <w:sz w:val="22"/>
          <w:szCs w:val="22"/>
        </w:rPr>
        <w:t>тчет о прибылях и убытках за последний отчетный квартал</w:t>
      </w:r>
    </w:p>
    <w:p w14:paraId="49317FC1" w14:textId="77777777" w:rsidR="005A5367" w:rsidRDefault="005A5367" w:rsidP="008A7B5A">
      <w:pPr>
        <w:spacing w:after="0" w:line="23" w:lineRule="atLeast"/>
        <w:jc w:val="both"/>
      </w:pPr>
    </w:p>
    <w:p w14:paraId="0D6D4A0B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bookmarkStart w:id="0" w:name="_GoBack"/>
      <w:r w:rsidRPr="00647C0A">
        <w:rPr>
          <w:rFonts w:ascii="Times New Roman" w:hAnsi="Times New Roman"/>
          <w:sz w:val="22"/>
          <w:szCs w:val="22"/>
        </w:rPr>
        <w:lastRenderedPageBreak/>
        <w:t>Профессиональный участник при приобретении у него ценных бумаг инвестором либо при приобретении им ценных бумаг по поручению инвестора обязан по требованию инвестора предоставить следующую информацию:</w:t>
      </w:r>
    </w:p>
    <w:p w14:paraId="34BE30FC" w14:textId="77777777" w:rsidR="005A5367" w:rsidRPr="00647C0A" w:rsidRDefault="005A5367" w:rsidP="008A7B5A">
      <w:pPr>
        <w:pStyle w:val="a7"/>
        <w:numPr>
          <w:ilvl w:val="0"/>
          <w:numId w:val="2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Сведения о государственной регистрации выпуска этих ценных бумаг и государственный регистрационный номер этого выпуска, а в случае совершения сделки с ценными бумагами, выпуск которых не подлежит государственной регистрации в соответствии с требованиями федеральных законов, - идентификационный номер выпуска таких ценных бумаг;</w:t>
      </w:r>
    </w:p>
    <w:p w14:paraId="7F69F4BB" w14:textId="77777777" w:rsidR="005A5367" w:rsidRPr="00647C0A" w:rsidRDefault="005A5367" w:rsidP="008A7B5A">
      <w:pPr>
        <w:pStyle w:val="a7"/>
        <w:numPr>
          <w:ilvl w:val="0"/>
          <w:numId w:val="2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Сведения о ценах ценных бумаг на организованных торгах в течение шести недель, предшествовавших дате предъявления инвестором требования о предоставлении информации, если эти ценные бумаги включены в котировальный список биржи, либо сведения об отсутствии этих ценных бумаг в котировальных списках бирж;</w:t>
      </w:r>
    </w:p>
    <w:p w14:paraId="1EDEAB30" w14:textId="77777777" w:rsidR="005A5367" w:rsidRPr="00647C0A" w:rsidRDefault="005A5367" w:rsidP="008A7B5A">
      <w:pPr>
        <w:pStyle w:val="a7"/>
        <w:numPr>
          <w:ilvl w:val="0"/>
          <w:numId w:val="2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Сведения о ценах, по которым эти ценные бумаги покупались и продавались этим профессиональным участником в течение шести недель, предшествовавших дате предъявления инвестором требования о предоставлении информации, либо сведения о том, что такие операции не проводились;</w:t>
      </w:r>
    </w:p>
    <w:p w14:paraId="5F5A10A6" w14:textId="77777777" w:rsidR="005A5367" w:rsidRPr="00647C0A" w:rsidRDefault="005A5367" w:rsidP="008A7B5A">
      <w:pPr>
        <w:pStyle w:val="a7"/>
        <w:numPr>
          <w:ilvl w:val="0"/>
          <w:numId w:val="2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Сведения об оценке этих ценных бумаг рейтинговым агентством, признанным в порядке, установленном законодательством Российской Федерации.</w:t>
      </w:r>
    </w:p>
    <w:p w14:paraId="7973AB77" w14:textId="77777777" w:rsidR="005A5367" w:rsidRDefault="005A5367" w:rsidP="008A7B5A">
      <w:pPr>
        <w:spacing w:after="0" w:line="23" w:lineRule="atLeast"/>
        <w:jc w:val="both"/>
      </w:pPr>
    </w:p>
    <w:p w14:paraId="7F5A4635" w14:textId="77777777" w:rsidR="005A5367" w:rsidRPr="00647C0A" w:rsidRDefault="005A5367" w:rsidP="008A7B5A">
      <w:pPr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В отношении прекращенных договоров доверительного управления Управляющий представляет лицу, с которым прекращен такой догов</w:t>
      </w:r>
      <w:r>
        <w:rPr>
          <w:rFonts w:cs="Times New Roman"/>
        </w:rPr>
        <w:t>ор, по его письменному запросу и</w:t>
      </w:r>
      <w:r w:rsidRPr="00647C0A">
        <w:rPr>
          <w:rFonts w:cs="Times New Roman"/>
        </w:rPr>
        <w:t>нформацию в отношении его инвестиционного портфеля, если срок хранения такой информации не истек.</w:t>
      </w:r>
    </w:p>
    <w:p w14:paraId="422422DD" w14:textId="77777777" w:rsidR="005A5367" w:rsidRDefault="005A5367" w:rsidP="008A7B5A">
      <w:pPr>
        <w:spacing w:after="0" w:line="23" w:lineRule="atLeast"/>
        <w:jc w:val="both"/>
      </w:pPr>
    </w:p>
    <w:p w14:paraId="42E71BA2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Предоставление недостоверной, неполной или вводящей в заблуждение информации инвестору является в соответствии с Федеральным законом "О защите прав и законных интересов инвесторов на рынке ценных бумаг" основанием для:</w:t>
      </w:r>
    </w:p>
    <w:p w14:paraId="371BF7C9" w14:textId="77777777" w:rsidR="005A5367" w:rsidRPr="00647C0A" w:rsidRDefault="005A5367" w:rsidP="008A7B5A">
      <w:pPr>
        <w:pStyle w:val="a7"/>
        <w:numPr>
          <w:ilvl w:val="0"/>
          <w:numId w:val="3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Изменения договора между инвестором и профессиональным участником по требованию инвестора в порядке, установленном гражданским законодательством Российской Федерации;</w:t>
      </w:r>
    </w:p>
    <w:p w14:paraId="46FDA878" w14:textId="77777777" w:rsidR="005A5367" w:rsidRPr="00647C0A" w:rsidRDefault="005A5367" w:rsidP="008A7B5A">
      <w:pPr>
        <w:pStyle w:val="a7"/>
        <w:numPr>
          <w:ilvl w:val="0"/>
          <w:numId w:val="3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Расторжения договора между инвестором и профессиональным участником по требованию инвестора в порядке, установленном гражданским законодательством Российской Федерации;</w:t>
      </w:r>
    </w:p>
    <w:p w14:paraId="60465E0C" w14:textId="77777777" w:rsidR="008C3130" w:rsidRDefault="008C3130" w:rsidP="008A7B5A">
      <w:pPr>
        <w:spacing w:after="0" w:line="23" w:lineRule="atLeast"/>
        <w:jc w:val="both"/>
      </w:pPr>
    </w:p>
    <w:p w14:paraId="2FD8C25D" w14:textId="77777777" w:rsidR="005A5367" w:rsidRPr="00647C0A" w:rsidRDefault="005A5367" w:rsidP="008A7B5A">
      <w:pPr>
        <w:pStyle w:val="ConsPlusNormal"/>
        <w:spacing w:line="23" w:lineRule="atLeast"/>
        <w:ind w:firstLine="0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Договором, заключаемым форекс-дилером с физическими лицами, не являющимися индивидуальными предпринимателями, должны быть определены общие условия обязательственных взаимоотношений сторон (далее - рамочный договор). При этом:</w:t>
      </w:r>
    </w:p>
    <w:p w14:paraId="29A53457" w14:textId="77777777" w:rsidR="005A5367" w:rsidRPr="00647C0A" w:rsidRDefault="005A5367" w:rsidP="008A7B5A">
      <w:pPr>
        <w:pStyle w:val="ConsPlusNormal"/>
        <w:numPr>
          <w:ilvl w:val="0"/>
          <w:numId w:val="3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Рамочный договор должен соответствовать Федеральному закону «О рынке ценных бумаг».</w:t>
      </w:r>
    </w:p>
    <w:p w14:paraId="41D5BD2E" w14:textId="77777777" w:rsidR="005A5367" w:rsidRPr="00647C0A" w:rsidRDefault="005A5367" w:rsidP="008A7B5A">
      <w:pPr>
        <w:pStyle w:val="ConsPlusNormal"/>
        <w:numPr>
          <w:ilvl w:val="0"/>
          <w:numId w:val="3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Рамочный договор должен соответствовать примерным условиям рамочного договора, утвержденным саморегулируемой организацией форекс-дилеров. </w:t>
      </w:r>
    </w:p>
    <w:p w14:paraId="3FC763CE" w14:textId="77777777" w:rsidR="005A5367" w:rsidRPr="00647C0A" w:rsidRDefault="005A5367" w:rsidP="008A7B5A">
      <w:pPr>
        <w:pStyle w:val="ConsPlusNormal"/>
        <w:numPr>
          <w:ilvl w:val="0"/>
          <w:numId w:val="3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Примерные условия рамочного договора и вносимые в него изменения должны быть согласованы с Банком России в порядке, установленном нормативными актами Банка России.</w:t>
      </w:r>
    </w:p>
    <w:p w14:paraId="5F4CA45C" w14:textId="77777777" w:rsidR="005A5367" w:rsidRPr="00647C0A" w:rsidRDefault="005A5367" w:rsidP="008A7B5A">
      <w:pPr>
        <w:pStyle w:val="ConsPlusNormal"/>
        <w:numPr>
          <w:ilvl w:val="0"/>
          <w:numId w:val="3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Форекс-дилер обязан зарегистрировать текст рамочного договора в саморегулируемой организации форекс-дилеров.</w:t>
      </w:r>
    </w:p>
    <w:p w14:paraId="3216CD8F" w14:textId="77777777" w:rsidR="005A5367" w:rsidRDefault="005A5367" w:rsidP="008A7B5A">
      <w:pPr>
        <w:spacing w:after="0" w:line="23" w:lineRule="atLeast"/>
        <w:jc w:val="both"/>
      </w:pPr>
    </w:p>
    <w:p w14:paraId="0FF22625" w14:textId="77777777" w:rsidR="005A5367" w:rsidRPr="00647C0A" w:rsidRDefault="005A5367" w:rsidP="008A7B5A">
      <w:pPr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Перечень рисков, возникающих при заключении, исполнении и прекращении договоров с форекс-дилером, с которыми должно быть ознакомлено физическое лицо, не являющееся индивидуальным предпринимателем, и ф</w:t>
      </w:r>
      <w:r>
        <w:rPr>
          <w:rFonts w:cs="Times New Roman"/>
        </w:rPr>
        <w:t>орма подтверждения их принятия у</w:t>
      </w:r>
      <w:r w:rsidRPr="00647C0A">
        <w:rPr>
          <w:rFonts w:cs="Times New Roman"/>
        </w:rPr>
        <w:t>станавливаются нормативными актами Банка России;</w:t>
      </w:r>
    </w:p>
    <w:p w14:paraId="42D1C938" w14:textId="77777777" w:rsidR="005A5367" w:rsidRDefault="005A5367" w:rsidP="008A7B5A">
      <w:pPr>
        <w:spacing w:after="0" w:line="23" w:lineRule="atLeast"/>
        <w:jc w:val="both"/>
      </w:pPr>
    </w:p>
    <w:p w14:paraId="344C429C" w14:textId="77777777" w:rsidR="005A5367" w:rsidRPr="00647C0A" w:rsidRDefault="005A5367" w:rsidP="008A7B5A">
      <w:pPr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Форекс-дилер обязан ознакомить физическое лицо со следующими рисками, связанными с заключением, исполнением и прекращением обязательств по рамочному договору и отдельным договорам:</w:t>
      </w:r>
    </w:p>
    <w:p w14:paraId="6CA42DFD" w14:textId="77777777" w:rsidR="005A5367" w:rsidRPr="0097572A" w:rsidRDefault="005A5367" w:rsidP="008A7B5A">
      <w:pPr>
        <w:pStyle w:val="a9"/>
        <w:numPr>
          <w:ilvl w:val="0"/>
          <w:numId w:val="31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t>Риском возникновения у физического лица убытков вследствие изменения курсов иностранных валют (валютный риск);</w:t>
      </w:r>
    </w:p>
    <w:p w14:paraId="71854283" w14:textId="77777777" w:rsidR="005A5367" w:rsidRPr="0097572A" w:rsidRDefault="005A5367" w:rsidP="008A7B5A">
      <w:pPr>
        <w:pStyle w:val="a9"/>
        <w:numPr>
          <w:ilvl w:val="0"/>
          <w:numId w:val="31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lastRenderedPageBreak/>
        <w:t>Риском возникновения у физического лица убытков вследствие неисполнения, несвоевременного исполнения либо неполного исполнения форекс-дилером и (или) банком, в котором открыт номинальный счет форекс-дилера, финансовых обязательств перед таким физическим лицом в соответствии с условиями рамочного договора и отдельных договоров (кредитный риск);</w:t>
      </w:r>
    </w:p>
    <w:p w14:paraId="20558252" w14:textId="77777777" w:rsidR="005A5367" w:rsidRPr="0097572A" w:rsidRDefault="005A5367" w:rsidP="008A7B5A">
      <w:pPr>
        <w:pStyle w:val="a9"/>
        <w:numPr>
          <w:ilvl w:val="0"/>
          <w:numId w:val="31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t>Риском возникновения у физического лица убытков вследствие нарушения действующего законодательства и (или) внутренних документов форекс-дилера работниками форекс-дилера</w:t>
      </w:r>
    </w:p>
    <w:p w14:paraId="0B753878" w14:textId="77777777" w:rsidR="005A5367" w:rsidRPr="0097572A" w:rsidRDefault="005A5367" w:rsidP="008A7B5A">
      <w:pPr>
        <w:pStyle w:val="a9"/>
        <w:numPr>
          <w:ilvl w:val="0"/>
          <w:numId w:val="31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t>Риском возникновения у физического лица убытков вследствие нарушения функционирования (отказа) программно-технических средств форекс-дилера и (или) физического лица.</w:t>
      </w:r>
    </w:p>
    <w:p w14:paraId="60E10A12" w14:textId="77777777" w:rsidR="005A5367" w:rsidRDefault="005A5367" w:rsidP="008A7B5A">
      <w:pPr>
        <w:spacing w:after="0" w:line="23" w:lineRule="atLeast"/>
        <w:jc w:val="both"/>
      </w:pPr>
    </w:p>
    <w:p w14:paraId="78A52004" w14:textId="77777777" w:rsidR="00467937" w:rsidRPr="00647C0A" w:rsidRDefault="00467937" w:rsidP="008A7B5A">
      <w:pPr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Форекс-дилер не вправе заключать с разными контрагентами аналогичные по виду, базисному активу, цене, объему (диапазону объема) и направленности (покупка или продажа базисного актива) отдель</w:t>
      </w:r>
      <w:r>
        <w:rPr>
          <w:rFonts w:cs="Times New Roman"/>
        </w:rPr>
        <w:t>ные договоры на разных условиях в</w:t>
      </w:r>
      <w:r w:rsidRPr="00647C0A">
        <w:rPr>
          <w:rFonts w:cs="Times New Roman"/>
        </w:rPr>
        <w:t xml:space="preserve"> течение пяти секунд с момента заключения первого отдельного договора, заключенного на соответствующих условиях.</w:t>
      </w:r>
    </w:p>
    <w:p w14:paraId="05214DE7" w14:textId="77777777" w:rsidR="005A5367" w:rsidRDefault="005A5367" w:rsidP="008A7B5A">
      <w:pPr>
        <w:spacing w:after="0" w:line="23" w:lineRule="atLeast"/>
        <w:jc w:val="both"/>
      </w:pPr>
    </w:p>
    <w:p w14:paraId="78DA4DBE" w14:textId="20C69F21" w:rsidR="008C3130" w:rsidRPr="008C3130" w:rsidRDefault="008C3130" w:rsidP="008A7B5A">
      <w:pPr>
        <w:spacing w:after="0" w:line="23" w:lineRule="atLeast"/>
        <w:jc w:val="both"/>
        <w:rPr>
          <w:b/>
        </w:rPr>
      </w:pPr>
      <w:r w:rsidRPr="008C3130">
        <w:rPr>
          <w:b/>
        </w:rPr>
        <w:t>Конфликт интересов</w:t>
      </w:r>
    </w:p>
    <w:p w14:paraId="69E567A9" w14:textId="77777777" w:rsidR="008C3130" w:rsidRDefault="008C3130" w:rsidP="008A7B5A">
      <w:pPr>
        <w:spacing w:after="0" w:line="23" w:lineRule="atLeast"/>
        <w:jc w:val="both"/>
      </w:pPr>
    </w:p>
    <w:p w14:paraId="7107017F" w14:textId="77777777" w:rsidR="008C3130" w:rsidRDefault="008C313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В соответствии с нормативными правовыми актами Российской Федерации конфликт интересов </w:t>
      </w:r>
      <w:r>
        <w:rPr>
          <w:rFonts w:ascii="Times New Roman" w:hAnsi="Times New Roman"/>
          <w:sz w:val="22"/>
          <w:szCs w:val="22"/>
        </w:rPr>
        <w:t>–</w:t>
      </w:r>
      <w:r w:rsidRPr="00647C0A">
        <w:rPr>
          <w:rFonts w:ascii="Times New Roman" w:hAnsi="Times New Roman"/>
          <w:sz w:val="22"/>
          <w:szCs w:val="22"/>
        </w:rPr>
        <w:t xml:space="preserve"> это</w:t>
      </w:r>
      <w:r>
        <w:rPr>
          <w:rFonts w:ascii="Times New Roman" w:hAnsi="Times New Roman"/>
          <w:sz w:val="22"/>
          <w:szCs w:val="22"/>
        </w:rPr>
        <w:t xml:space="preserve"> п</w:t>
      </w:r>
      <w:r w:rsidRPr="00647C0A">
        <w:rPr>
          <w:rFonts w:ascii="Times New Roman" w:hAnsi="Times New Roman"/>
          <w:sz w:val="22"/>
          <w:szCs w:val="22"/>
        </w:rPr>
        <w:t>ротиворечие между имущественными и иными интересами профессионального участника рынка ценных бумаг и (или) его работников, осуществляющих свою деятельность на основании трудового или гражданско - правового договора, и клиента профессионального участника, в результате которого действия (бездействия) профессионального участника и (или) его работников причиняют убытки клиенту и (или) влекут иные неблагоприятные последствия для клиента</w:t>
      </w:r>
    </w:p>
    <w:p w14:paraId="0AFD7282" w14:textId="77777777" w:rsidR="008C3130" w:rsidRDefault="008C313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381EA7C4" w14:textId="3959CFDF" w:rsidR="008C3130" w:rsidRPr="00647C0A" w:rsidRDefault="008C313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При этом под кл</w:t>
      </w:r>
      <w:r>
        <w:rPr>
          <w:rFonts w:ascii="Times New Roman" w:hAnsi="Times New Roman"/>
          <w:sz w:val="22"/>
          <w:szCs w:val="22"/>
        </w:rPr>
        <w:t>иентом в этом случае понимается ю</w:t>
      </w:r>
      <w:r w:rsidRPr="00647C0A">
        <w:rPr>
          <w:rFonts w:ascii="Times New Roman" w:hAnsi="Times New Roman"/>
          <w:sz w:val="22"/>
          <w:szCs w:val="22"/>
        </w:rPr>
        <w:t>ридическое или физическое лицо, которому профессиональный участник оказывает услуги, связанные с его профессиональной деят</w:t>
      </w:r>
      <w:r>
        <w:rPr>
          <w:rFonts w:ascii="Times New Roman" w:hAnsi="Times New Roman"/>
          <w:sz w:val="22"/>
          <w:szCs w:val="22"/>
        </w:rPr>
        <w:t>ельностью на рынке ценных бумаг</w:t>
      </w:r>
    </w:p>
    <w:p w14:paraId="7ED37B91" w14:textId="77777777" w:rsidR="008C3130" w:rsidRDefault="008C3130" w:rsidP="008A7B5A">
      <w:pPr>
        <w:spacing w:after="0" w:line="23" w:lineRule="atLeast"/>
        <w:jc w:val="both"/>
      </w:pPr>
    </w:p>
    <w:p w14:paraId="1212E9EB" w14:textId="77777777" w:rsidR="008C3130" w:rsidRPr="00647C0A" w:rsidRDefault="008C313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Возникновению конфликта интереса может способствовать:</w:t>
      </w:r>
    </w:p>
    <w:p w14:paraId="7AA49E15" w14:textId="77777777" w:rsidR="008C3130" w:rsidRPr="00647C0A" w:rsidRDefault="008C3130" w:rsidP="008A7B5A">
      <w:pPr>
        <w:pStyle w:val="a7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Осуществление в отношении клиента сделок купли-продажи ценных бумаг аффилированных лиц;</w:t>
      </w:r>
    </w:p>
    <w:p w14:paraId="18517F4D" w14:textId="77777777" w:rsidR="008C3130" w:rsidRPr="00647C0A" w:rsidRDefault="008C3130" w:rsidP="008A7B5A">
      <w:pPr>
        <w:pStyle w:val="a7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Совмещение нескольких видов профессиональной деятельности;</w:t>
      </w:r>
    </w:p>
    <w:p w14:paraId="098D79C7" w14:textId="77777777" w:rsidR="008C3130" w:rsidRPr="00647C0A" w:rsidRDefault="008C3130" w:rsidP="008A7B5A">
      <w:pPr>
        <w:pStyle w:val="a7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Совмещение профессиональной деятельности с иными видами предпринимательской деятельности;</w:t>
      </w:r>
    </w:p>
    <w:p w14:paraId="138581BD" w14:textId="77777777" w:rsidR="008C3130" w:rsidRPr="00647C0A" w:rsidRDefault="008C3130" w:rsidP="008A7B5A">
      <w:pPr>
        <w:pStyle w:val="a7"/>
        <w:numPr>
          <w:ilvl w:val="0"/>
          <w:numId w:val="1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Совершение по поручению клиента сделок купли-продажи ценных бумаг на внебиржевом рынке.</w:t>
      </w:r>
    </w:p>
    <w:p w14:paraId="34D169D6" w14:textId="1B58557C" w:rsidR="008C3130" w:rsidRDefault="001A38BB" w:rsidP="008A7B5A">
      <w:pPr>
        <w:tabs>
          <w:tab w:val="left" w:pos="1338"/>
        </w:tabs>
        <w:spacing w:after="0" w:line="23" w:lineRule="atLeast"/>
        <w:jc w:val="both"/>
      </w:pPr>
      <w:r>
        <w:tab/>
      </w:r>
    </w:p>
    <w:p w14:paraId="36B98F4A" w14:textId="77777777" w:rsidR="001A38BB" w:rsidRPr="00647C0A" w:rsidRDefault="001A38BB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 факторам, способствующим возникновению конфликта интересов можно отнести:</w:t>
      </w:r>
    </w:p>
    <w:p w14:paraId="07BAD75D" w14:textId="77777777" w:rsidR="001A38BB" w:rsidRPr="00647C0A" w:rsidRDefault="001A38BB" w:rsidP="008A7B5A">
      <w:pPr>
        <w:pStyle w:val="a7"/>
        <w:numPr>
          <w:ilvl w:val="0"/>
          <w:numId w:val="1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Стремление брокера к максимизации своей прибыли за счет увеличения получаемого комиссионного вознаграждения и извлечения других дополнительных доходов от заключаемой клиентом сделки;</w:t>
      </w:r>
    </w:p>
    <w:p w14:paraId="25E4B738" w14:textId="77777777" w:rsidR="001A38BB" w:rsidRPr="00647C0A" w:rsidRDefault="001A38BB" w:rsidP="008A7B5A">
      <w:pPr>
        <w:pStyle w:val="a7"/>
        <w:numPr>
          <w:ilvl w:val="0"/>
          <w:numId w:val="1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Стремления брокера снизить себестоимость оказываемых услуг;</w:t>
      </w:r>
    </w:p>
    <w:p w14:paraId="26D439C9" w14:textId="77777777" w:rsidR="001A38BB" w:rsidRDefault="001A38BB" w:rsidP="008A7B5A">
      <w:pPr>
        <w:tabs>
          <w:tab w:val="left" w:pos="1338"/>
        </w:tabs>
        <w:spacing w:after="0" w:line="23" w:lineRule="atLeast"/>
        <w:jc w:val="both"/>
      </w:pPr>
    </w:p>
    <w:p w14:paraId="5D1886B4" w14:textId="77777777" w:rsidR="005A5367" w:rsidRPr="00647C0A" w:rsidRDefault="005A5367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При совмещении брокерской и дилерской деятельности конфликт интересов может реализовываться посредством: </w:t>
      </w:r>
    </w:p>
    <w:p w14:paraId="10F49B88" w14:textId="77777777" w:rsidR="005A5367" w:rsidRPr="00647C0A" w:rsidRDefault="005A5367" w:rsidP="008A7B5A">
      <w:pPr>
        <w:pStyle w:val="a7"/>
        <w:numPr>
          <w:ilvl w:val="0"/>
          <w:numId w:val="2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Использования информации и/или обоснованных предположений о намерениях и/или действиях клиентов;</w:t>
      </w:r>
    </w:p>
    <w:p w14:paraId="12FF78B7" w14:textId="77777777" w:rsidR="005A5367" w:rsidRPr="00647C0A" w:rsidRDefault="005A5367" w:rsidP="008A7B5A">
      <w:pPr>
        <w:pStyle w:val="a7"/>
        <w:numPr>
          <w:ilvl w:val="0"/>
          <w:numId w:val="2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Оказания целенаправленного воздействия на процесс принятия инвестиционного решения клиентом или принятия инвестиционных решений в отношении ценных бумаг и денежных средств клиента, стимулирующих формирование требуемой тенденции на рынке;</w:t>
      </w:r>
    </w:p>
    <w:p w14:paraId="6DC6C2D1" w14:textId="77777777" w:rsidR="005A5367" w:rsidRPr="00647C0A" w:rsidRDefault="005A5367" w:rsidP="008A7B5A">
      <w:pPr>
        <w:pStyle w:val="a7"/>
        <w:numPr>
          <w:ilvl w:val="0"/>
          <w:numId w:val="2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Нарушения принципа приоритетности исполнения поручений клиента по сравнению с собственными операциями;</w:t>
      </w:r>
    </w:p>
    <w:p w14:paraId="0E0125EC" w14:textId="77777777" w:rsidR="005A5367" w:rsidRDefault="005A5367" w:rsidP="008A7B5A">
      <w:pPr>
        <w:tabs>
          <w:tab w:val="left" w:pos="1338"/>
        </w:tabs>
        <w:spacing w:after="0" w:line="23" w:lineRule="atLeast"/>
        <w:jc w:val="both"/>
      </w:pPr>
    </w:p>
    <w:p w14:paraId="1ECAAC4F" w14:textId="77777777" w:rsidR="008C3130" w:rsidRPr="00647C0A" w:rsidRDefault="008C313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lastRenderedPageBreak/>
        <w:t>В соответствии с нормативными правовыми актами Банка России в целях предотвращения конфликта интересов и уменьшения его негативных последствий профессиональный уч</w:t>
      </w:r>
      <w:r>
        <w:rPr>
          <w:rFonts w:ascii="Times New Roman" w:hAnsi="Times New Roman"/>
          <w:sz w:val="22"/>
          <w:szCs w:val="22"/>
        </w:rPr>
        <w:t>астник обязан соблюдать принцип п</w:t>
      </w:r>
      <w:r w:rsidRPr="00647C0A">
        <w:rPr>
          <w:rFonts w:ascii="Times New Roman" w:hAnsi="Times New Roman"/>
          <w:sz w:val="22"/>
          <w:szCs w:val="22"/>
        </w:rPr>
        <w:t>риоритета интересов клиента перед собственными интересами</w:t>
      </w:r>
    </w:p>
    <w:p w14:paraId="03CEFD37" w14:textId="77777777" w:rsidR="008C3130" w:rsidRDefault="008C3130" w:rsidP="008A7B5A">
      <w:pPr>
        <w:spacing w:after="0" w:line="23" w:lineRule="atLeast"/>
        <w:jc w:val="both"/>
      </w:pPr>
    </w:p>
    <w:p w14:paraId="0819AB78" w14:textId="77777777" w:rsidR="00046656" w:rsidRPr="00647C0A" w:rsidRDefault="0004665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Брокер должен выполнять п</w:t>
      </w:r>
      <w:r>
        <w:rPr>
          <w:rFonts w:ascii="Times New Roman" w:hAnsi="Times New Roman"/>
          <w:sz w:val="22"/>
          <w:szCs w:val="22"/>
        </w:rPr>
        <w:t xml:space="preserve">оручения клиентов добросовестно. </w:t>
      </w:r>
      <w:r w:rsidRPr="00647C0A">
        <w:rPr>
          <w:rFonts w:ascii="Times New Roman" w:hAnsi="Times New Roman"/>
          <w:sz w:val="22"/>
          <w:szCs w:val="22"/>
        </w:rPr>
        <w:t>Брокер должен выполнять поручения кл</w:t>
      </w:r>
      <w:r>
        <w:rPr>
          <w:rFonts w:ascii="Times New Roman" w:hAnsi="Times New Roman"/>
          <w:sz w:val="22"/>
          <w:szCs w:val="22"/>
        </w:rPr>
        <w:t xml:space="preserve">иентов в порядке их поступления. </w:t>
      </w:r>
      <w:r w:rsidRPr="00647C0A">
        <w:rPr>
          <w:rFonts w:ascii="Times New Roman" w:hAnsi="Times New Roman"/>
          <w:sz w:val="22"/>
          <w:szCs w:val="22"/>
        </w:rPr>
        <w:t>Сделки, осуществляемые по поручению клиентов, во всех случаях подлежат приоритетному исполнению по сравнению с дилерскими операциями самого брокера при совмещении им деятельности брокера и дилера.</w:t>
      </w:r>
    </w:p>
    <w:p w14:paraId="23A18FE3" w14:textId="77777777" w:rsidR="00046656" w:rsidRDefault="00046656" w:rsidP="008A7B5A">
      <w:pPr>
        <w:spacing w:after="0" w:line="23" w:lineRule="atLeast"/>
        <w:jc w:val="both"/>
      </w:pPr>
    </w:p>
    <w:p w14:paraId="04B52727" w14:textId="77777777" w:rsidR="00B002E0" w:rsidRDefault="00B002E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 случае, если конфликт интересов управляющего и его клиента или разных клиентов одного управляющего, о котором все стороны не были уведомлены заранее, привел к действиям управляющего, нанесшим ущерб интере</w:t>
      </w:r>
      <w:r>
        <w:rPr>
          <w:rFonts w:ascii="Times New Roman" w:hAnsi="Times New Roman"/>
          <w:sz w:val="22"/>
          <w:szCs w:val="22"/>
        </w:rPr>
        <w:t>сам клиента, управляющий обязан в</w:t>
      </w:r>
      <w:r w:rsidRPr="00647C0A">
        <w:rPr>
          <w:rFonts w:ascii="Times New Roman" w:hAnsi="Times New Roman"/>
          <w:sz w:val="22"/>
          <w:szCs w:val="22"/>
        </w:rPr>
        <w:t>озместить причиненные убытки в порядке, установленном гражданским законодательством Российской Федерации</w:t>
      </w:r>
    </w:p>
    <w:p w14:paraId="2AF3C1C2" w14:textId="77777777" w:rsidR="00B67716" w:rsidRDefault="00B6771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26ACE9C7" w14:textId="7C3CD5EE" w:rsidR="00B67716" w:rsidRPr="00647C0A" w:rsidRDefault="00B6771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В случае, если конфликт интересов управляющего и его клиента или разных клиентов одного управляющего, о котором все стороны не были уведомлены заранее, привел к действиям управляющего, нанесшим ущерб интересам клиента, управляющий обязан возместить </w:t>
      </w:r>
      <w:r>
        <w:rPr>
          <w:rFonts w:ascii="Times New Roman" w:hAnsi="Times New Roman"/>
          <w:sz w:val="22"/>
          <w:szCs w:val="22"/>
        </w:rPr>
        <w:t xml:space="preserve">НЕ </w:t>
      </w:r>
      <w:r w:rsidRPr="00647C0A">
        <w:rPr>
          <w:rFonts w:ascii="Times New Roman" w:hAnsi="Times New Roman"/>
          <w:sz w:val="22"/>
          <w:szCs w:val="22"/>
        </w:rPr>
        <w:t>упущенную выгоду, которую клиент мог бы извлечь в случае надлежащего уведомления.</w:t>
      </w:r>
    </w:p>
    <w:p w14:paraId="34ABB7C5" w14:textId="77777777" w:rsidR="00B002E0" w:rsidRDefault="00B002E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3AB5D32C" w14:textId="63692190" w:rsidR="00B002E0" w:rsidRPr="00647C0A" w:rsidRDefault="00B002E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 случае если меры, принятые управляющим по предотвращению последствий конфликта интересов</w:t>
      </w:r>
      <w:r w:rsidR="00140A52">
        <w:rPr>
          <w:rFonts w:ascii="Times New Roman" w:hAnsi="Times New Roman"/>
          <w:sz w:val="22"/>
          <w:szCs w:val="22"/>
        </w:rPr>
        <w:t>,</w:t>
      </w:r>
      <w:r w:rsidRPr="00647C0A">
        <w:rPr>
          <w:rFonts w:ascii="Times New Roman" w:hAnsi="Times New Roman"/>
          <w:sz w:val="22"/>
          <w:szCs w:val="22"/>
        </w:rPr>
        <w:t xml:space="preserve"> не привели к снижению риска причинения ущерба интересам клиента, Управляющий обязан</w:t>
      </w:r>
      <w:r>
        <w:rPr>
          <w:rFonts w:ascii="Times New Roman" w:hAnsi="Times New Roman"/>
          <w:sz w:val="22"/>
          <w:szCs w:val="22"/>
        </w:rPr>
        <w:t xml:space="preserve"> у</w:t>
      </w:r>
      <w:r w:rsidRPr="00647C0A">
        <w:rPr>
          <w:rFonts w:ascii="Times New Roman" w:hAnsi="Times New Roman"/>
          <w:sz w:val="22"/>
          <w:szCs w:val="22"/>
        </w:rPr>
        <w:t>ведомить клиента об общем характере и (или) источниках конфликта интересов до начала совершения сделок, связанных с доверительным управлением имуществом клиента.</w:t>
      </w:r>
    </w:p>
    <w:p w14:paraId="008EE35D" w14:textId="77777777" w:rsidR="00B002E0" w:rsidRDefault="00B002E0" w:rsidP="008A7B5A">
      <w:pPr>
        <w:spacing w:after="0" w:line="23" w:lineRule="atLeast"/>
        <w:jc w:val="both"/>
      </w:pPr>
    </w:p>
    <w:p w14:paraId="79C8E967" w14:textId="77777777" w:rsidR="00B002E0" w:rsidRPr="00647C0A" w:rsidRDefault="00B002E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 мерам, направленным на предотвращение возникновения конфликта интересов можно отнести:</w:t>
      </w:r>
    </w:p>
    <w:p w14:paraId="2BAF0317" w14:textId="77777777" w:rsidR="00B002E0" w:rsidRPr="00647C0A" w:rsidRDefault="00B002E0" w:rsidP="008A7B5A">
      <w:pPr>
        <w:pStyle w:val="a7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Раскрытие клиентам и инвесторам информации о совмещении различных видов деятельности;</w:t>
      </w:r>
    </w:p>
    <w:p w14:paraId="741647C5" w14:textId="77777777" w:rsidR="00B002E0" w:rsidRPr="00647C0A" w:rsidRDefault="00B002E0" w:rsidP="008A7B5A">
      <w:pPr>
        <w:pStyle w:val="a7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Раскрытие списков аффилированных лиц;</w:t>
      </w:r>
    </w:p>
    <w:p w14:paraId="15CC362C" w14:textId="77777777" w:rsidR="00B002E0" w:rsidRPr="00647C0A" w:rsidRDefault="00B002E0" w:rsidP="008A7B5A">
      <w:pPr>
        <w:pStyle w:val="a7"/>
        <w:numPr>
          <w:ilvl w:val="0"/>
          <w:numId w:val="2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Создание "китайских стен";</w:t>
      </w:r>
    </w:p>
    <w:p w14:paraId="09616E16" w14:textId="77777777" w:rsidR="00B002E0" w:rsidRDefault="00B002E0" w:rsidP="008A7B5A">
      <w:pPr>
        <w:spacing w:after="0" w:line="23" w:lineRule="atLeast"/>
        <w:jc w:val="both"/>
      </w:pPr>
    </w:p>
    <w:p w14:paraId="09461C84" w14:textId="77777777" w:rsidR="001A38BB" w:rsidRPr="00647C0A" w:rsidRDefault="001A38BB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 мерам по предотвращению конфликта интересов, а также по разрешению возникшего конфликта интересов в пользу клиента можно отнести:</w:t>
      </w:r>
    </w:p>
    <w:p w14:paraId="61C09C90" w14:textId="77777777" w:rsidR="001A38BB" w:rsidRPr="00647C0A" w:rsidRDefault="001A38BB" w:rsidP="008A7B5A">
      <w:pPr>
        <w:pStyle w:val="a7"/>
        <w:numPr>
          <w:ilvl w:val="0"/>
          <w:numId w:val="1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Разработка и утверждение внутреннего документа, в котором должны быть определены меры, направленные на предотвращение конфликта интересов, его развития и на его разрешение в пользу клиента;</w:t>
      </w:r>
    </w:p>
    <w:p w14:paraId="35432B63" w14:textId="77777777" w:rsidR="001A38BB" w:rsidRPr="00647C0A" w:rsidRDefault="001A38BB" w:rsidP="008A7B5A">
      <w:pPr>
        <w:pStyle w:val="a7"/>
        <w:numPr>
          <w:ilvl w:val="0"/>
          <w:numId w:val="1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Запрещение совмещения сотрудником полномочий, порождающих конфликт интересов;</w:t>
      </w:r>
    </w:p>
    <w:p w14:paraId="6CE43E18" w14:textId="77777777" w:rsidR="001A38BB" w:rsidRPr="00647C0A" w:rsidRDefault="001A38BB" w:rsidP="008A7B5A">
      <w:pPr>
        <w:pStyle w:val="a7"/>
        <w:numPr>
          <w:ilvl w:val="0"/>
          <w:numId w:val="1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Выделение профессиональным участником подразделений, выполняющих операции по различным видам деятельности, в отдельные и независимые друг от друга подразделения.</w:t>
      </w:r>
    </w:p>
    <w:p w14:paraId="56A16901" w14:textId="77777777" w:rsidR="001A38BB" w:rsidRDefault="001A38BB" w:rsidP="008A7B5A">
      <w:pPr>
        <w:spacing w:after="0" w:line="23" w:lineRule="atLeast"/>
        <w:jc w:val="both"/>
      </w:pPr>
    </w:p>
    <w:p w14:paraId="1DD07F78" w14:textId="77777777" w:rsidR="00B002E0" w:rsidRPr="00647C0A" w:rsidRDefault="00B002E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О</w:t>
      </w:r>
      <w:r w:rsidRPr="00647C0A">
        <w:rPr>
          <w:rFonts w:ascii="Times New Roman" w:hAnsi="Times New Roman"/>
          <w:sz w:val="22"/>
          <w:szCs w:val="22"/>
        </w:rPr>
        <w:t>бщепризнанной практикой регулирования конфликта интересов при совмещен</w:t>
      </w:r>
      <w:r>
        <w:rPr>
          <w:rFonts w:ascii="Times New Roman" w:hAnsi="Times New Roman"/>
          <w:sz w:val="22"/>
          <w:szCs w:val="22"/>
        </w:rPr>
        <w:t>ии различных видов деятельности является т</w:t>
      </w:r>
      <w:r w:rsidRPr="00647C0A">
        <w:rPr>
          <w:rFonts w:ascii="Times New Roman" w:hAnsi="Times New Roman"/>
          <w:sz w:val="22"/>
          <w:szCs w:val="22"/>
        </w:rPr>
        <w:t>ребование по созданию "китайских стен";</w:t>
      </w:r>
    </w:p>
    <w:p w14:paraId="5646F526" w14:textId="77777777" w:rsidR="00B002E0" w:rsidRDefault="00B002E0" w:rsidP="008A7B5A">
      <w:pPr>
        <w:spacing w:after="0" w:line="23" w:lineRule="atLeast"/>
        <w:jc w:val="both"/>
      </w:pPr>
    </w:p>
    <w:p w14:paraId="34FAF576" w14:textId="77777777" w:rsidR="00B002E0" w:rsidRPr="00647C0A" w:rsidRDefault="00B002E0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Принцип создания "китайских стен" заключается в следующем:</w:t>
      </w:r>
    </w:p>
    <w:p w14:paraId="1AA77E82" w14:textId="77777777" w:rsidR="00B002E0" w:rsidRPr="00647C0A" w:rsidRDefault="00B002E0" w:rsidP="008A7B5A">
      <w:pPr>
        <w:pStyle w:val="a7"/>
        <w:numPr>
          <w:ilvl w:val="0"/>
          <w:numId w:val="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Создание самостоятельных структурных подразделений, осуществляющих различные виды деятельности внутри организации, и разделение функций между ними;</w:t>
      </w:r>
    </w:p>
    <w:p w14:paraId="26ACF9C3" w14:textId="77777777" w:rsidR="00B002E0" w:rsidRPr="00647C0A" w:rsidRDefault="00B002E0" w:rsidP="008A7B5A">
      <w:pPr>
        <w:pStyle w:val="a7"/>
        <w:numPr>
          <w:ilvl w:val="0"/>
          <w:numId w:val="3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Принятие мер, препятствующих утечке информации между подразделениями, влияющей на независимость принятия решений исключительно в интересах клиентов;</w:t>
      </w:r>
    </w:p>
    <w:p w14:paraId="67A422CB" w14:textId="77777777" w:rsidR="008C3130" w:rsidRDefault="008C3130" w:rsidP="008A7B5A">
      <w:pPr>
        <w:spacing w:after="0" w:line="23" w:lineRule="atLeast"/>
        <w:jc w:val="both"/>
      </w:pPr>
    </w:p>
    <w:p w14:paraId="7FFC3EBC" w14:textId="77777777" w:rsidR="007C5B70" w:rsidRDefault="007C5B70" w:rsidP="008A7B5A">
      <w:pPr>
        <w:spacing w:after="0" w:line="23" w:lineRule="atLeast"/>
        <w:jc w:val="both"/>
      </w:pPr>
    </w:p>
    <w:p w14:paraId="54CF4419" w14:textId="3FF6DD0D" w:rsidR="008C3130" w:rsidRPr="00714899" w:rsidRDefault="008C3130" w:rsidP="008A7B5A">
      <w:pPr>
        <w:spacing w:after="0" w:line="23" w:lineRule="atLeast"/>
        <w:jc w:val="both"/>
        <w:rPr>
          <w:b/>
        </w:rPr>
      </w:pPr>
      <w:r w:rsidRPr="00714899">
        <w:rPr>
          <w:b/>
        </w:rPr>
        <w:t>Квалифицированные инвесторы</w:t>
      </w:r>
    </w:p>
    <w:p w14:paraId="4C98E531" w14:textId="77777777" w:rsidR="008C3130" w:rsidRDefault="008C3130" w:rsidP="008A7B5A">
      <w:pPr>
        <w:spacing w:after="0" w:line="23" w:lineRule="atLeast"/>
        <w:jc w:val="both"/>
      </w:pPr>
    </w:p>
    <w:p w14:paraId="5AEA34BD" w14:textId="116950D9" w:rsidR="00714899" w:rsidRPr="00647C0A" w:rsidRDefault="00714899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 квалифицированным инвесторам, признаваемым таковыми в соответствии с законодательством РФ</w:t>
      </w:r>
      <w:r w:rsidR="00140A52">
        <w:rPr>
          <w:rFonts w:ascii="Times New Roman" w:hAnsi="Times New Roman"/>
          <w:sz w:val="22"/>
          <w:szCs w:val="22"/>
        </w:rPr>
        <w:t>,</w:t>
      </w:r>
      <w:r w:rsidRPr="00647C0A">
        <w:rPr>
          <w:rFonts w:ascii="Times New Roman" w:hAnsi="Times New Roman"/>
          <w:sz w:val="22"/>
          <w:szCs w:val="22"/>
        </w:rPr>
        <w:t xml:space="preserve"> относятся:</w:t>
      </w:r>
    </w:p>
    <w:p w14:paraId="65F61751" w14:textId="77777777" w:rsidR="00714899" w:rsidRPr="00647C0A" w:rsidRDefault="00714899" w:rsidP="008A7B5A">
      <w:pPr>
        <w:pStyle w:val="a7"/>
        <w:numPr>
          <w:ilvl w:val="0"/>
          <w:numId w:val="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Профессиональные участники рынка ценных бумаг</w:t>
      </w:r>
    </w:p>
    <w:p w14:paraId="2CE96468" w14:textId="77777777" w:rsidR="00714899" w:rsidRPr="00647C0A" w:rsidRDefault="00714899" w:rsidP="008A7B5A">
      <w:pPr>
        <w:pStyle w:val="a7"/>
        <w:numPr>
          <w:ilvl w:val="0"/>
          <w:numId w:val="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Клиринговые организации</w:t>
      </w:r>
    </w:p>
    <w:p w14:paraId="10BDA56D" w14:textId="77777777" w:rsidR="00714899" w:rsidRPr="00647C0A" w:rsidRDefault="00714899" w:rsidP="008A7B5A">
      <w:pPr>
        <w:pStyle w:val="a7"/>
        <w:numPr>
          <w:ilvl w:val="0"/>
          <w:numId w:val="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lastRenderedPageBreak/>
        <w:t>Кредитные организации</w:t>
      </w:r>
    </w:p>
    <w:p w14:paraId="5680108D" w14:textId="77777777" w:rsidR="00714899" w:rsidRPr="00647C0A" w:rsidRDefault="00714899" w:rsidP="008A7B5A">
      <w:pPr>
        <w:pStyle w:val="a7"/>
        <w:numPr>
          <w:ilvl w:val="0"/>
          <w:numId w:val="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Управляющие компании </w:t>
      </w:r>
    </w:p>
    <w:p w14:paraId="0A07D5C8" w14:textId="77777777" w:rsidR="00714899" w:rsidRPr="00647C0A" w:rsidRDefault="00714899" w:rsidP="008A7B5A">
      <w:pPr>
        <w:pStyle w:val="a7"/>
        <w:numPr>
          <w:ilvl w:val="0"/>
          <w:numId w:val="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Страховые организации</w:t>
      </w:r>
    </w:p>
    <w:p w14:paraId="69A103FD" w14:textId="77777777" w:rsidR="00714899" w:rsidRPr="00647C0A" w:rsidRDefault="00714899" w:rsidP="008A7B5A">
      <w:pPr>
        <w:pStyle w:val="a7"/>
        <w:numPr>
          <w:ilvl w:val="0"/>
          <w:numId w:val="9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Негосударственные пенсионные фонды</w:t>
      </w:r>
    </w:p>
    <w:p w14:paraId="0E2222F2" w14:textId="77777777" w:rsidR="00714899" w:rsidRDefault="00714899" w:rsidP="008A7B5A">
      <w:pPr>
        <w:spacing w:after="0" w:line="23" w:lineRule="atLeast"/>
        <w:jc w:val="both"/>
      </w:pPr>
    </w:p>
    <w:p w14:paraId="350AE652" w14:textId="77777777" w:rsidR="00714899" w:rsidRPr="00647C0A" w:rsidRDefault="00714899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К квалифицированным инвесторам, признаваемым таковыми в соответствии с законодательством РФ, в том числе относятся следующие лица:</w:t>
      </w:r>
    </w:p>
    <w:p w14:paraId="7E3298F9" w14:textId="77777777" w:rsidR="00714899" w:rsidRPr="00647C0A" w:rsidRDefault="00714899" w:rsidP="008A7B5A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Банк России</w:t>
      </w:r>
    </w:p>
    <w:p w14:paraId="762389B5" w14:textId="77777777" w:rsidR="00714899" w:rsidRPr="00647C0A" w:rsidRDefault="00714899" w:rsidP="008A7B5A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Внешэкономбанк</w:t>
      </w:r>
    </w:p>
    <w:p w14:paraId="4C66CB55" w14:textId="77777777" w:rsidR="00714899" w:rsidRPr="00647C0A" w:rsidRDefault="00714899" w:rsidP="008A7B5A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Государственная корпорация "Российская корпорация нанотехнологий"</w:t>
      </w:r>
    </w:p>
    <w:p w14:paraId="1E9348FC" w14:textId="77777777" w:rsidR="00714899" w:rsidRPr="00647C0A" w:rsidRDefault="00714899" w:rsidP="008A7B5A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Агентство по страхованию вкладов</w:t>
      </w:r>
    </w:p>
    <w:p w14:paraId="13639B81" w14:textId="77777777" w:rsidR="00714899" w:rsidRPr="00647C0A" w:rsidRDefault="00714899" w:rsidP="008A7B5A">
      <w:pPr>
        <w:pStyle w:val="a9"/>
        <w:numPr>
          <w:ilvl w:val="0"/>
          <w:numId w:val="10"/>
        </w:numPr>
        <w:autoSpaceDE w:val="0"/>
        <w:autoSpaceDN w:val="0"/>
        <w:adjustRightInd w:val="0"/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Европейский банк реконструкции и развития</w:t>
      </w:r>
    </w:p>
    <w:p w14:paraId="6F5160ED" w14:textId="77777777" w:rsidR="00714899" w:rsidRPr="00647C0A" w:rsidRDefault="00714899" w:rsidP="008A7B5A">
      <w:pPr>
        <w:pStyle w:val="a7"/>
        <w:numPr>
          <w:ilvl w:val="0"/>
          <w:numId w:val="10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Иные лица, отнесенные к квалифицированным инвесторам федеральными законами</w:t>
      </w:r>
    </w:p>
    <w:p w14:paraId="200065BA" w14:textId="77777777" w:rsidR="00714899" w:rsidRDefault="00714899" w:rsidP="008A7B5A">
      <w:pPr>
        <w:spacing w:after="0" w:line="23" w:lineRule="atLeast"/>
        <w:jc w:val="both"/>
      </w:pPr>
    </w:p>
    <w:p w14:paraId="45A1CAFD" w14:textId="77777777" w:rsidR="00B67716" w:rsidRPr="00647C0A" w:rsidRDefault="00B67716" w:rsidP="008A7B5A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 xml:space="preserve">Депозитарии, осуществляющие учет прав на ценные бумаги, предназначенные для квалифицированных инвесторов, вправе зачислять указанные ценные бумаги на счет депо владельца, если: </w:t>
      </w:r>
    </w:p>
    <w:p w14:paraId="6AF5328F" w14:textId="77777777" w:rsidR="00B67716" w:rsidRPr="00647C0A" w:rsidRDefault="00B67716" w:rsidP="008A7B5A">
      <w:pPr>
        <w:pStyle w:val="Normal1"/>
        <w:numPr>
          <w:ilvl w:val="0"/>
          <w:numId w:val="14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Последний является квалифицированным инвестором.</w:t>
      </w:r>
    </w:p>
    <w:p w14:paraId="5BA1924E" w14:textId="77777777" w:rsidR="00B67716" w:rsidRPr="00647C0A" w:rsidRDefault="00B67716" w:rsidP="008A7B5A">
      <w:pPr>
        <w:pStyle w:val="Normal1"/>
        <w:numPr>
          <w:ilvl w:val="0"/>
          <w:numId w:val="14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Последний не является квалифицированным инвестором, но приобрел указанные ценные бумаги в результате универсального правопреемства, конвертации, в том числе при реорганизации, распределения имущества ликвидируемого юридического лица.</w:t>
      </w:r>
    </w:p>
    <w:p w14:paraId="6076AC00" w14:textId="77777777" w:rsidR="00B67716" w:rsidRPr="00647C0A" w:rsidRDefault="00B67716" w:rsidP="008A7B5A">
      <w:pPr>
        <w:pStyle w:val="Normal1"/>
        <w:numPr>
          <w:ilvl w:val="0"/>
          <w:numId w:val="14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В иных случаях, установленных Банком России.</w:t>
      </w:r>
    </w:p>
    <w:p w14:paraId="0EFE1CC1" w14:textId="77777777" w:rsidR="00B67716" w:rsidRDefault="00B67716" w:rsidP="008A7B5A">
      <w:pPr>
        <w:spacing w:after="0" w:line="23" w:lineRule="atLeast"/>
        <w:jc w:val="both"/>
      </w:pPr>
    </w:p>
    <w:p w14:paraId="6E82D2AE" w14:textId="77777777" w:rsidR="00714899" w:rsidRPr="00647C0A" w:rsidRDefault="00714899" w:rsidP="008A7B5A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П</w:t>
      </w:r>
      <w:r w:rsidRPr="00647C0A">
        <w:rPr>
          <w:snapToGrid w:val="0"/>
          <w:sz w:val="22"/>
          <w:szCs w:val="22"/>
        </w:rPr>
        <w:t>ризнание лица по его заявлению квалифицированным инвестором</w:t>
      </w:r>
      <w:r>
        <w:rPr>
          <w:snapToGrid w:val="0"/>
          <w:sz w:val="22"/>
          <w:szCs w:val="22"/>
        </w:rPr>
        <w:t xml:space="preserve"> может быть осуществлено</w:t>
      </w:r>
      <w:r w:rsidRPr="00647C0A">
        <w:rPr>
          <w:snapToGrid w:val="0"/>
          <w:sz w:val="22"/>
          <w:szCs w:val="22"/>
        </w:rPr>
        <w:t>:</w:t>
      </w:r>
    </w:p>
    <w:p w14:paraId="2BD959F8" w14:textId="77777777" w:rsidR="00714899" w:rsidRPr="00647C0A" w:rsidRDefault="00714899" w:rsidP="008A7B5A">
      <w:pPr>
        <w:pStyle w:val="Normal1"/>
        <w:numPr>
          <w:ilvl w:val="0"/>
          <w:numId w:val="11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 xml:space="preserve">Брокерами, </w:t>
      </w:r>
    </w:p>
    <w:p w14:paraId="4C5D4334" w14:textId="77777777" w:rsidR="00714899" w:rsidRPr="00647C0A" w:rsidRDefault="00714899" w:rsidP="008A7B5A">
      <w:pPr>
        <w:pStyle w:val="Normal1"/>
        <w:numPr>
          <w:ilvl w:val="0"/>
          <w:numId w:val="11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 xml:space="preserve">Управляющими, </w:t>
      </w:r>
    </w:p>
    <w:p w14:paraId="30E80000" w14:textId="77777777" w:rsidR="00714899" w:rsidRPr="00647C0A" w:rsidRDefault="00714899" w:rsidP="008A7B5A">
      <w:pPr>
        <w:pStyle w:val="Normal1"/>
        <w:numPr>
          <w:ilvl w:val="0"/>
          <w:numId w:val="11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Управляющими компаниями паевого инвестиционного фонда</w:t>
      </w:r>
    </w:p>
    <w:p w14:paraId="4F54DF3C" w14:textId="77777777" w:rsidR="00714899" w:rsidRPr="00647C0A" w:rsidRDefault="00714899" w:rsidP="008A7B5A">
      <w:pPr>
        <w:pStyle w:val="Normal1"/>
        <w:numPr>
          <w:ilvl w:val="0"/>
          <w:numId w:val="11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Иными лицами в случаях, предусмотренных федеральными законами</w:t>
      </w:r>
    </w:p>
    <w:p w14:paraId="273920BD" w14:textId="77777777" w:rsidR="00714899" w:rsidRDefault="00714899" w:rsidP="008A7B5A">
      <w:pPr>
        <w:spacing w:after="0" w:line="23" w:lineRule="atLeast"/>
        <w:jc w:val="both"/>
      </w:pPr>
    </w:p>
    <w:p w14:paraId="71180309" w14:textId="77777777" w:rsidR="00714899" w:rsidRPr="00647C0A" w:rsidRDefault="00714899" w:rsidP="008A7B5A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Лицо, осуществляющее признание квалифицированным инвестором, разрабатывает и утверждает документ, содержащий порядок принятия решения о признании лица квалифицированным инвестором, в том числе:</w:t>
      </w:r>
    </w:p>
    <w:p w14:paraId="413967C8" w14:textId="77777777" w:rsidR="00714899" w:rsidRPr="00647C0A" w:rsidRDefault="00714899" w:rsidP="008A7B5A">
      <w:pPr>
        <w:pStyle w:val="Normal1"/>
        <w:numPr>
          <w:ilvl w:val="0"/>
          <w:numId w:val="12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Требования для признания лица квалифицированным инвестором в соответствии с Федеральным законом "О рынке ценных бумаг".</w:t>
      </w:r>
    </w:p>
    <w:p w14:paraId="524F32B4" w14:textId="77777777" w:rsidR="00714899" w:rsidRPr="00647C0A" w:rsidRDefault="00714899" w:rsidP="008A7B5A">
      <w:pPr>
        <w:pStyle w:val="Normal1"/>
        <w:numPr>
          <w:ilvl w:val="0"/>
          <w:numId w:val="12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Перечень представляемых лицом документов, подтверждающих его соответствие требованиям, соблюдение которых необходимо для признания лица квалифицированным инвестором, а также порядок их представления;</w:t>
      </w:r>
    </w:p>
    <w:p w14:paraId="4359156E" w14:textId="77777777" w:rsidR="00714899" w:rsidRPr="00647C0A" w:rsidRDefault="00714899" w:rsidP="008A7B5A">
      <w:pPr>
        <w:pStyle w:val="Normal1"/>
        <w:numPr>
          <w:ilvl w:val="0"/>
          <w:numId w:val="12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Порядок проверки соответствия лица требованиям, которым должно соответствовать такое лицо для признания его квалифицированным инвестором;</w:t>
      </w:r>
    </w:p>
    <w:p w14:paraId="4B980855" w14:textId="77777777" w:rsidR="00714899" w:rsidRPr="00647C0A" w:rsidRDefault="00714899" w:rsidP="008A7B5A">
      <w:pPr>
        <w:pStyle w:val="Normal1"/>
        <w:numPr>
          <w:ilvl w:val="0"/>
          <w:numId w:val="12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Срок принятия решения о признании или об отказе в признании лица квалифицированным инвестором, а также порядок уведомления указанного лица о принятом решении.</w:t>
      </w:r>
    </w:p>
    <w:p w14:paraId="228489E2" w14:textId="77777777" w:rsidR="00714899" w:rsidRDefault="00714899" w:rsidP="008A7B5A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</w:p>
    <w:p w14:paraId="30C47274" w14:textId="77777777" w:rsidR="00714899" w:rsidRPr="00647C0A" w:rsidRDefault="00714899" w:rsidP="008A7B5A">
      <w:pPr>
        <w:pStyle w:val="Normal1"/>
        <w:spacing w:line="23" w:lineRule="atLeast"/>
        <w:jc w:val="both"/>
        <w:rPr>
          <w:snapToGrid w:val="0"/>
          <w:sz w:val="22"/>
          <w:szCs w:val="22"/>
        </w:rPr>
      </w:pPr>
      <w:r>
        <w:rPr>
          <w:snapToGrid w:val="0"/>
          <w:sz w:val="22"/>
          <w:szCs w:val="22"/>
        </w:rPr>
        <w:t>Ф</w:t>
      </w:r>
      <w:r w:rsidRPr="00647C0A">
        <w:rPr>
          <w:snapToGrid w:val="0"/>
          <w:sz w:val="22"/>
          <w:szCs w:val="22"/>
        </w:rPr>
        <w:t>изическое лицо может быть признано квалифицированным инвестором</w:t>
      </w:r>
      <w:r>
        <w:rPr>
          <w:snapToGrid w:val="0"/>
          <w:sz w:val="22"/>
          <w:szCs w:val="22"/>
        </w:rPr>
        <w:t xml:space="preserve"> если соблюдается ЛЮБОЕ требование из</w:t>
      </w:r>
      <w:r w:rsidRPr="00647C0A">
        <w:rPr>
          <w:snapToGrid w:val="0"/>
          <w:sz w:val="22"/>
          <w:szCs w:val="22"/>
        </w:rPr>
        <w:t>:</w:t>
      </w:r>
    </w:p>
    <w:p w14:paraId="7B67A59A" w14:textId="77777777" w:rsidR="00714899" w:rsidRPr="00647C0A" w:rsidRDefault="00714899" w:rsidP="008A7B5A">
      <w:pPr>
        <w:pStyle w:val="Normal1"/>
        <w:numPr>
          <w:ilvl w:val="0"/>
          <w:numId w:val="13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 xml:space="preserve">Общая стоимость ценных бумаг, которыми владеет это лицо, и (или) общий размер обязательств из договоров, являющихся производными финансовыми инструментами и заключенных за счет этого лица, соответствуют требованиям, установленным нормативными актами Банка России. </w:t>
      </w:r>
    </w:p>
    <w:p w14:paraId="52490080" w14:textId="77777777" w:rsidR="00714899" w:rsidRPr="00647C0A" w:rsidRDefault="00714899" w:rsidP="008A7B5A">
      <w:pPr>
        <w:pStyle w:val="Normal1"/>
        <w:numPr>
          <w:ilvl w:val="0"/>
          <w:numId w:val="13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Такое лицо имеет установленный нормативными актами Банка России опыт работы в российской и (или) иностранной организации, которые совершали сделки с ценными бумагами и (или) заключали договоры, являющиеся производными финансовыми инструментами;</w:t>
      </w:r>
    </w:p>
    <w:p w14:paraId="55A51C92" w14:textId="77777777" w:rsidR="00714899" w:rsidRPr="00647C0A" w:rsidRDefault="00714899" w:rsidP="008A7B5A">
      <w:pPr>
        <w:pStyle w:val="Normal1"/>
        <w:numPr>
          <w:ilvl w:val="0"/>
          <w:numId w:val="13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t>Такое лицо совершило сделки с ценными бумагами и (или) заключило договоры, являющиеся производными финансовыми инструментами, в количестве, объеме и в срок, которые установлены нормативными актами Банка России;</w:t>
      </w:r>
    </w:p>
    <w:p w14:paraId="3A45E05C" w14:textId="77777777" w:rsidR="00714899" w:rsidRPr="00647C0A" w:rsidRDefault="00714899" w:rsidP="008A7B5A">
      <w:pPr>
        <w:pStyle w:val="Normal1"/>
        <w:numPr>
          <w:ilvl w:val="0"/>
          <w:numId w:val="13"/>
        </w:numPr>
        <w:spacing w:line="23" w:lineRule="atLeast"/>
        <w:jc w:val="both"/>
        <w:rPr>
          <w:snapToGrid w:val="0"/>
          <w:sz w:val="22"/>
          <w:szCs w:val="22"/>
        </w:rPr>
      </w:pPr>
      <w:r w:rsidRPr="00647C0A">
        <w:rPr>
          <w:snapToGrid w:val="0"/>
          <w:sz w:val="22"/>
          <w:szCs w:val="22"/>
        </w:rPr>
        <w:lastRenderedPageBreak/>
        <w:t>Такое лицо имеет установленные нормативными актами Банка России образование или квалификационный аттестат.</w:t>
      </w:r>
    </w:p>
    <w:p w14:paraId="13AD850E" w14:textId="77777777" w:rsidR="00714899" w:rsidRDefault="00714899" w:rsidP="008A7B5A">
      <w:pPr>
        <w:spacing w:after="0" w:line="23" w:lineRule="atLeast"/>
        <w:jc w:val="both"/>
      </w:pPr>
    </w:p>
    <w:p w14:paraId="04A2F93A" w14:textId="60CC2111" w:rsidR="00DA65F7" w:rsidRPr="00647C0A" w:rsidRDefault="00DA65F7" w:rsidP="008A7B5A">
      <w:pPr>
        <w:spacing w:after="0" w:line="23" w:lineRule="atLeast"/>
        <w:jc w:val="both"/>
        <w:rPr>
          <w:rFonts w:cs="Times New Roman"/>
        </w:rPr>
      </w:pPr>
      <w:r>
        <w:rPr>
          <w:rFonts w:cs="Times New Roman"/>
        </w:rPr>
        <w:t>Ю</w:t>
      </w:r>
      <w:r w:rsidRPr="00647C0A">
        <w:rPr>
          <w:rFonts w:cs="Times New Roman"/>
        </w:rPr>
        <w:t>ридическое лицо, которое является коммерческой организацией, может быть признано квалифицированным инвестором</w:t>
      </w:r>
      <w:r>
        <w:rPr>
          <w:rFonts w:cs="Times New Roman"/>
        </w:rPr>
        <w:t xml:space="preserve"> в случае соблюдения ЛЮБОГО требования из</w:t>
      </w:r>
      <w:r w:rsidRPr="00647C0A">
        <w:rPr>
          <w:rFonts w:cs="Times New Roman"/>
        </w:rPr>
        <w:t>:</w:t>
      </w:r>
    </w:p>
    <w:p w14:paraId="7B3FE5C2" w14:textId="77777777" w:rsidR="00DA65F7" w:rsidRPr="0097572A" w:rsidRDefault="00DA65F7" w:rsidP="008A7B5A">
      <w:pPr>
        <w:pStyle w:val="a9"/>
        <w:numPr>
          <w:ilvl w:val="0"/>
          <w:numId w:val="19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t>Такое лицо имеет собственный капитал в размере, установленном нормативными актами Банка России;</w:t>
      </w:r>
    </w:p>
    <w:p w14:paraId="5D5E2C73" w14:textId="77777777" w:rsidR="00DA65F7" w:rsidRPr="0097572A" w:rsidRDefault="00DA65F7" w:rsidP="008A7B5A">
      <w:pPr>
        <w:pStyle w:val="a9"/>
        <w:numPr>
          <w:ilvl w:val="0"/>
          <w:numId w:val="19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t>Такое лицо совершило сделки с ценными бумагами и (или) заключило договоры, являющиеся производными финансовыми инструментами, в количестве, объеме и в срок, которые установлены нормативными актами Банка России;</w:t>
      </w:r>
    </w:p>
    <w:p w14:paraId="00DC240E" w14:textId="77777777" w:rsidR="00DA65F7" w:rsidRPr="0097572A" w:rsidRDefault="00DA65F7" w:rsidP="008A7B5A">
      <w:pPr>
        <w:pStyle w:val="a9"/>
        <w:numPr>
          <w:ilvl w:val="0"/>
          <w:numId w:val="19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t>Такое лицо имеет оборот (выручку) от реализации товаров (работ, услуг) в размере и за период, которые установлены нормативными актами Банка России;</w:t>
      </w:r>
    </w:p>
    <w:p w14:paraId="185FCC42" w14:textId="77777777" w:rsidR="00DA65F7" w:rsidRPr="0097572A" w:rsidRDefault="00DA65F7" w:rsidP="008A7B5A">
      <w:pPr>
        <w:pStyle w:val="a9"/>
        <w:numPr>
          <w:ilvl w:val="0"/>
          <w:numId w:val="19"/>
        </w:numPr>
        <w:spacing w:after="0" w:line="23" w:lineRule="atLeast"/>
        <w:jc w:val="both"/>
        <w:rPr>
          <w:rFonts w:cs="Times New Roman"/>
        </w:rPr>
      </w:pPr>
      <w:r w:rsidRPr="0097572A">
        <w:rPr>
          <w:rFonts w:cs="Times New Roman"/>
        </w:rPr>
        <w:t>Такое лицо имеет сумму активов по данным бухгалтерского учета за последний отчетный год в размере, установленном нормативными актами Банка России.</w:t>
      </w:r>
    </w:p>
    <w:p w14:paraId="5D75A0B4" w14:textId="77777777" w:rsidR="00DA65F7" w:rsidRDefault="00DA65F7" w:rsidP="008A7B5A">
      <w:pPr>
        <w:spacing w:after="0" w:line="23" w:lineRule="atLeast"/>
        <w:jc w:val="both"/>
      </w:pPr>
    </w:p>
    <w:p w14:paraId="3AE28C50" w14:textId="77777777" w:rsidR="00EB4411" w:rsidRPr="00647C0A" w:rsidRDefault="00EB4411" w:rsidP="008A7B5A">
      <w:pPr>
        <w:spacing w:after="0" w:line="23" w:lineRule="atLeast"/>
        <w:jc w:val="both"/>
        <w:rPr>
          <w:rFonts w:cs="Times New Roman"/>
        </w:rPr>
      </w:pPr>
      <w:r w:rsidRPr="00647C0A">
        <w:rPr>
          <w:rFonts w:cs="Times New Roman"/>
        </w:rPr>
        <w:t>Лицо, обращающееся с просьбой о признании его квалифицированным инвестором, представляет лицу, осуществляющему признание квалифицированным инвестором:</w:t>
      </w:r>
    </w:p>
    <w:p w14:paraId="202DAB30" w14:textId="77777777" w:rsidR="00EB4411" w:rsidRPr="0060504C" w:rsidRDefault="00EB4411" w:rsidP="008A7B5A">
      <w:pPr>
        <w:pStyle w:val="a9"/>
        <w:numPr>
          <w:ilvl w:val="0"/>
          <w:numId w:val="20"/>
        </w:numPr>
        <w:spacing w:after="0" w:line="23" w:lineRule="atLeast"/>
        <w:jc w:val="both"/>
        <w:rPr>
          <w:rFonts w:cs="Times New Roman"/>
        </w:rPr>
      </w:pPr>
      <w:r w:rsidRPr="0060504C">
        <w:rPr>
          <w:rFonts w:cs="Times New Roman"/>
        </w:rPr>
        <w:t>Заявление с просьбой о признании его квалифицированным инвестором</w:t>
      </w:r>
    </w:p>
    <w:p w14:paraId="130D06EA" w14:textId="77777777" w:rsidR="00EB4411" w:rsidRPr="0060504C" w:rsidRDefault="00EB4411" w:rsidP="008A7B5A">
      <w:pPr>
        <w:pStyle w:val="a9"/>
        <w:numPr>
          <w:ilvl w:val="0"/>
          <w:numId w:val="20"/>
        </w:numPr>
        <w:spacing w:after="0" w:line="23" w:lineRule="atLeast"/>
        <w:jc w:val="both"/>
        <w:rPr>
          <w:rFonts w:cs="Times New Roman"/>
        </w:rPr>
      </w:pPr>
      <w:r w:rsidRPr="0060504C">
        <w:rPr>
          <w:rFonts w:cs="Times New Roman"/>
        </w:rPr>
        <w:t>Документы, подтверждающие его соответствие требованиям, соблюдение которых необходимо для признания лица квалифицированным инвестором в соответствии с требованиями нормативных актов Банка России.</w:t>
      </w:r>
    </w:p>
    <w:p w14:paraId="75CEF481" w14:textId="77777777" w:rsidR="00EB4411" w:rsidRPr="0060504C" w:rsidRDefault="00EB4411" w:rsidP="008A7B5A">
      <w:pPr>
        <w:pStyle w:val="a9"/>
        <w:numPr>
          <w:ilvl w:val="0"/>
          <w:numId w:val="20"/>
        </w:numPr>
        <w:spacing w:after="0" w:line="23" w:lineRule="atLeast"/>
        <w:jc w:val="both"/>
        <w:rPr>
          <w:rFonts w:cs="Times New Roman"/>
        </w:rPr>
      </w:pPr>
      <w:r w:rsidRPr="0060504C">
        <w:rPr>
          <w:rFonts w:cs="Times New Roman"/>
        </w:rPr>
        <w:t>Дополнительные документы по запросу лица, осуществляющего признание квалифицированным инвестором, подтверждающие его соответствие требованиям, соблюдение которых необходимо для признания лица квалифицированным инвестором.</w:t>
      </w:r>
    </w:p>
    <w:p w14:paraId="2E74553D" w14:textId="77777777" w:rsidR="008C3130" w:rsidRDefault="008C3130" w:rsidP="008A7B5A">
      <w:pPr>
        <w:spacing w:after="0" w:line="23" w:lineRule="atLeast"/>
        <w:jc w:val="both"/>
      </w:pPr>
    </w:p>
    <w:p w14:paraId="7C8B1808" w14:textId="7F25E2B7" w:rsidR="008C3130" w:rsidRPr="00B459E6" w:rsidRDefault="008C3130" w:rsidP="008A7B5A">
      <w:pPr>
        <w:spacing w:after="0" w:line="23" w:lineRule="atLeast"/>
        <w:jc w:val="both"/>
        <w:rPr>
          <w:b/>
        </w:rPr>
      </w:pPr>
      <w:r w:rsidRPr="00B459E6">
        <w:rPr>
          <w:b/>
        </w:rPr>
        <w:t>Реклама</w:t>
      </w:r>
    </w:p>
    <w:p w14:paraId="209D79DF" w14:textId="77777777" w:rsidR="008C3130" w:rsidRDefault="008C3130" w:rsidP="008A7B5A">
      <w:pPr>
        <w:spacing w:after="0" w:line="23" w:lineRule="atLeast"/>
        <w:jc w:val="both"/>
      </w:pPr>
    </w:p>
    <w:p w14:paraId="5087D58D" w14:textId="77777777" w:rsidR="00B459E6" w:rsidRDefault="00B459E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06185AB8" w14:textId="77777777" w:rsidR="00B459E6" w:rsidRPr="00647C0A" w:rsidRDefault="00B459E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Реклама финансовых услуг и финансово</w:t>
      </w:r>
      <w:r>
        <w:rPr>
          <w:rFonts w:ascii="Times New Roman" w:hAnsi="Times New Roman"/>
          <w:sz w:val="22"/>
          <w:szCs w:val="22"/>
        </w:rPr>
        <w:t>й деятельности должна содержать н</w:t>
      </w:r>
      <w:r w:rsidRPr="00647C0A">
        <w:rPr>
          <w:rFonts w:ascii="Times New Roman" w:hAnsi="Times New Roman"/>
          <w:sz w:val="22"/>
          <w:szCs w:val="22"/>
        </w:rPr>
        <w:t>аименование юридического лица;</w:t>
      </w:r>
    </w:p>
    <w:p w14:paraId="7CEAB702" w14:textId="77777777" w:rsidR="00B459E6" w:rsidRDefault="00B459E6" w:rsidP="008A7B5A">
      <w:pPr>
        <w:spacing w:after="0" w:line="23" w:lineRule="atLeast"/>
        <w:jc w:val="both"/>
      </w:pPr>
    </w:p>
    <w:p w14:paraId="385023B7" w14:textId="77777777" w:rsidR="00B459E6" w:rsidRPr="00647C0A" w:rsidRDefault="00B459E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В соответствии с Федеральным законом «О рекламе» реклама услуг, связанных с осуществлением управления, включая доверительное управление активами, не должна содержать:</w:t>
      </w:r>
    </w:p>
    <w:p w14:paraId="7576E44A" w14:textId="77777777" w:rsidR="00B459E6" w:rsidRPr="00647C0A" w:rsidRDefault="00B459E6" w:rsidP="008A7B5A">
      <w:pPr>
        <w:pStyle w:val="a7"/>
        <w:numPr>
          <w:ilvl w:val="0"/>
          <w:numId w:val="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Документально не подтвержденную информацию, если она непосредственно относится к управлению активами;</w:t>
      </w:r>
    </w:p>
    <w:p w14:paraId="6D20EFA7" w14:textId="77777777" w:rsidR="00B459E6" w:rsidRPr="00647C0A" w:rsidRDefault="00B459E6" w:rsidP="008A7B5A">
      <w:pPr>
        <w:pStyle w:val="a7"/>
        <w:numPr>
          <w:ilvl w:val="0"/>
          <w:numId w:val="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Информацию о результатах управления активами, в том числе об их изменении или о сравнении в прошлом и (или) в текущий момент, не основанную на расчетах доходности, определяемых в соответствии с нормативными актами Центрального банка Российской Федерации;</w:t>
      </w:r>
    </w:p>
    <w:p w14:paraId="2396D4C7" w14:textId="77777777" w:rsidR="00B459E6" w:rsidRPr="00647C0A" w:rsidRDefault="00B459E6" w:rsidP="008A7B5A">
      <w:pPr>
        <w:pStyle w:val="a7"/>
        <w:numPr>
          <w:ilvl w:val="0"/>
          <w:numId w:val="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Информацию о гарантиях надежности возможных инвестиций и стабильности размеров возможных доходов или издержек, связанных с указанными инвестициями;</w:t>
      </w:r>
    </w:p>
    <w:p w14:paraId="6C6D9A8D" w14:textId="77777777" w:rsidR="00B459E6" w:rsidRPr="00647C0A" w:rsidRDefault="00B459E6" w:rsidP="008A7B5A">
      <w:pPr>
        <w:pStyle w:val="a7"/>
        <w:numPr>
          <w:ilvl w:val="0"/>
          <w:numId w:val="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Информацию о возможных выгодах, связанных с методами управления активами;</w:t>
      </w:r>
    </w:p>
    <w:p w14:paraId="43CEFF45" w14:textId="77777777" w:rsidR="00B459E6" w:rsidRPr="00647C0A" w:rsidRDefault="00B459E6" w:rsidP="008A7B5A">
      <w:pPr>
        <w:pStyle w:val="a7"/>
        <w:numPr>
          <w:ilvl w:val="0"/>
          <w:numId w:val="4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Заявления о возможности достижения в будущем результатов управления активами, аналогичных достигнутым результатам.</w:t>
      </w:r>
    </w:p>
    <w:p w14:paraId="03A088DB" w14:textId="77777777" w:rsidR="00B459E6" w:rsidRDefault="00B459E6" w:rsidP="008A7B5A">
      <w:pPr>
        <w:spacing w:after="0" w:line="23" w:lineRule="atLeast"/>
        <w:jc w:val="both"/>
      </w:pPr>
    </w:p>
    <w:p w14:paraId="2E3BCFD0" w14:textId="77777777" w:rsidR="00B459E6" w:rsidRPr="00647C0A" w:rsidRDefault="00B459E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Реклама услуг, связанных с осуществлением доверительного управления ценными бумагами должна содержать:</w:t>
      </w:r>
    </w:p>
    <w:p w14:paraId="47A02020" w14:textId="77777777" w:rsidR="00B459E6" w:rsidRPr="00A4120C" w:rsidRDefault="00B459E6" w:rsidP="008A7B5A">
      <w:pPr>
        <w:pStyle w:val="a7"/>
        <w:numPr>
          <w:ilvl w:val="0"/>
          <w:numId w:val="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Источник информации, подлежащей раскрытию в соответствии с федеральным законом;</w:t>
      </w:r>
    </w:p>
    <w:p w14:paraId="64FD42FD" w14:textId="77777777" w:rsidR="00B459E6" w:rsidRPr="00647C0A" w:rsidRDefault="00B459E6" w:rsidP="008A7B5A">
      <w:pPr>
        <w:pStyle w:val="a7"/>
        <w:numPr>
          <w:ilvl w:val="0"/>
          <w:numId w:val="6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Сведения о месте или об адресе (номер телефона), где до заключения соответствующего договора заинтересованные лица могут ознакомиться с условиями управления активами, получить сведения о лице, осуществляющем управление активами, и иную информацию, которая должна быть предоставлена в соответствии с федеральным законом и иными нормативными правовыми актами Российской Федерации.</w:t>
      </w:r>
    </w:p>
    <w:p w14:paraId="54591728" w14:textId="77777777" w:rsidR="008C3130" w:rsidRDefault="008C3130" w:rsidP="008A7B5A">
      <w:pPr>
        <w:spacing w:after="0" w:line="23" w:lineRule="atLeast"/>
        <w:jc w:val="both"/>
      </w:pPr>
    </w:p>
    <w:p w14:paraId="7BA610E3" w14:textId="77777777" w:rsidR="00B459E6" w:rsidRPr="00647C0A" w:rsidRDefault="00B459E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>Реклама, побуждающая к заключению сделок с форекс-дилерами, должна содержать следующее указание:</w:t>
      </w:r>
    </w:p>
    <w:p w14:paraId="2CE2D186" w14:textId="77777777" w:rsidR="00B459E6" w:rsidRPr="00647C0A" w:rsidRDefault="00B459E6" w:rsidP="008A7B5A">
      <w:pPr>
        <w:pStyle w:val="a7"/>
        <w:numPr>
          <w:ilvl w:val="0"/>
          <w:numId w:val="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lastRenderedPageBreak/>
        <w:t>Предлагаемые к заключению договоры или финансовые инструменты являются высокорискованным</w:t>
      </w:r>
    </w:p>
    <w:p w14:paraId="148CBB4D" w14:textId="77777777" w:rsidR="00B459E6" w:rsidRPr="00647C0A" w:rsidRDefault="00B459E6" w:rsidP="008A7B5A">
      <w:pPr>
        <w:pStyle w:val="a7"/>
        <w:numPr>
          <w:ilvl w:val="0"/>
          <w:numId w:val="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Предлагаемые к заключению договоры или финансовые инструменты могут привести к потере внесенных денежных средств в полном объеме. </w:t>
      </w:r>
    </w:p>
    <w:p w14:paraId="75FA4698" w14:textId="77777777" w:rsidR="00B459E6" w:rsidRPr="00647C0A" w:rsidRDefault="00B459E6" w:rsidP="008A7B5A">
      <w:pPr>
        <w:pStyle w:val="a7"/>
        <w:numPr>
          <w:ilvl w:val="0"/>
          <w:numId w:val="7"/>
        </w:numPr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До совершения сделок следует ознакомиться с рисками, с которыми они связаны. </w:t>
      </w:r>
    </w:p>
    <w:p w14:paraId="1C9F287C" w14:textId="77777777" w:rsidR="00B459E6" w:rsidRDefault="00B459E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</w:p>
    <w:p w14:paraId="20E0E342" w14:textId="77777777" w:rsidR="00B459E6" w:rsidRPr="00647C0A" w:rsidRDefault="00B459E6" w:rsidP="008A7B5A">
      <w:pPr>
        <w:pStyle w:val="a7"/>
        <w:spacing w:line="23" w:lineRule="atLeast"/>
        <w:jc w:val="both"/>
        <w:rPr>
          <w:rFonts w:ascii="Times New Roman" w:hAnsi="Times New Roman"/>
          <w:sz w:val="22"/>
          <w:szCs w:val="22"/>
        </w:rPr>
      </w:pPr>
      <w:r w:rsidRPr="00647C0A">
        <w:rPr>
          <w:rFonts w:ascii="Times New Roman" w:hAnsi="Times New Roman"/>
          <w:sz w:val="22"/>
          <w:szCs w:val="22"/>
        </w:rPr>
        <w:t xml:space="preserve">Публичное объявление цен (порядка определения цен) форекс-дилерами, а также иных существенных условий договора не является рекламой, побуждающей к заключению сделок с форекс-дилерами </w:t>
      </w:r>
    </w:p>
    <w:bookmarkEnd w:id="0"/>
    <w:p w14:paraId="31B122AD" w14:textId="77777777" w:rsidR="00B459E6" w:rsidRPr="008E43B6" w:rsidRDefault="00B459E6" w:rsidP="008A7B5A">
      <w:pPr>
        <w:spacing w:after="0" w:line="23" w:lineRule="atLeast"/>
        <w:jc w:val="both"/>
      </w:pPr>
    </w:p>
    <w:sectPr w:rsidR="00B459E6" w:rsidRPr="008E43B6" w:rsidSect="009B5723">
      <w:headerReference w:type="even" r:id="rId10"/>
      <w:headerReference w:type="default" r:id="rId11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27692" w14:textId="77777777" w:rsidR="00875180" w:rsidRDefault="00875180" w:rsidP="00F3312E">
      <w:pPr>
        <w:spacing w:after="0" w:line="240" w:lineRule="auto"/>
      </w:pPr>
      <w:r>
        <w:separator/>
      </w:r>
    </w:p>
  </w:endnote>
  <w:endnote w:type="continuationSeparator" w:id="0">
    <w:p w14:paraId="7162B930" w14:textId="77777777" w:rsidR="00875180" w:rsidRDefault="00875180" w:rsidP="00F33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517667" w14:textId="77777777" w:rsidR="00875180" w:rsidRDefault="00875180" w:rsidP="00F3312E">
      <w:pPr>
        <w:spacing w:after="0" w:line="240" w:lineRule="auto"/>
      </w:pPr>
      <w:r>
        <w:separator/>
      </w:r>
    </w:p>
  </w:footnote>
  <w:footnote w:type="continuationSeparator" w:id="0">
    <w:p w14:paraId="19DF0E5D" w14:textId="77777777" w:rsidR="00875180" w:rsidRDefault="00875180" w:rsidP="00F33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1212C" w14:textId="77777777" w:rsidR="00FE0EB9" w:rsidRDefault="00FE0EB9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end"/>
    </w:r>
  </w:p>
  <w:p w14:paraId="73166903" w14:textId="77777777" w:rsidR="00FE0EB9" w:rsidRDefault="00FE0EB9">
    <w:pPr>
      <w:pStyle w:val="af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298A3" w14:textId="74FCA683" w:rsidR="00FE0EB9" w:rsidRDefault="00FE0EB9" w:rsidP="007F64C0">
    <w:pPr>
      <w:pStyle w:val="af8"/>
      <w:framePr w:wrap="around" w:vAnchor="text" w:hAnchor="margin" w:xAlign="center" w:y="1"/>
      <w:rPr>
        <w:rStyle w:val="aff2"/>
      </w:rPr>
    </w:pPr>
    <w:r>
      <w:rPr>
        <w:rStyle w:val="aff2"/>
      </w:rPr>
      <w:fldChar w:fldCharType="begin"/>
    </w:r>
    <w:r>
      <w:rPr>
        <w:rStyle w:val="aff2"/>
      </w:rPr>
      <w:instrText xml:space="preserve">PAGE  </w:instrText>
    </w:r>
    <w:r>
      <w:rPr>
        <w:rStyle w:val="aff2"/>
      </w:rPr>
      <w:fldChar w:fldCharType="separate"/>
    </w:r>
    <w:r w:rsidR="008A7B5A">
      <w:rPr>
        <w:rStyle w:val="aff2"/>
        <w:noProof/>
      </w:rPr>
      <w:t>1</w:t>
    </w:r>
    <w:r>
      <w:rPr>
        <w:rStyle w:val="aff2"/>
      </w:rPr>
      <w:fldChar w:fldCharType="end"/>
    </w:r>
  </w:p>
  <w:p w14:paraId="2AA0A439" w14:textId="30B990FD" w:rsidR="00FE0EB9" w:rsidRDefault="00FE0EB9">
    <w:pPr>
      <w:pStyle w:val="af8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00AF9"/>
    <w:multiLevelType w:val="hybridMultilevel"/>
    <w:tmpl w:val="6CB4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CBC"/>
    <w:multiLevelType w:val="hybridMultilevel"/>
    <w:tmpl w:val="8970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637"/>
    <w:multiLevelType w:val="hybridMultilevel"/>
    <w:tmpl w:val="1C24D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87669"/>
    <w:multiLevelType w:val="hybridMultilevel"/>
    <w:tmpl w:val="C0DC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117DD"/>
    <w:multiLevelType w:val="hybridMultilevel"/>
    <w:tmpl w:val="41B2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E4605"/>
    <w:multiLevelType w:val="hybridMultilevel"/>
    <w:tmpl w:val="F432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27673"/>
    <w:multiLevelType w:val="hybridMultilevel"/>
    <w:tmpl w:val="F5A0C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A24C86"/>
    <w:multiLevelType w:val="hybridMultilevel"/>
    <w:tmpl w:val="0468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D25BF"/>
    <w:multiLevelType w:val="hybridMultilevel"/>
    <w:tmpl w:val="B3C4E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82B15"/>
    <w:multiLevelType w:val="hybridMultilevel"/>
    <w:tmpl w:val="EAFC7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8E7AC8"/>
    <w:multiLevelType w:val="hybridMultilevel"/>
    <w:tmpl w:val="40F6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B4D81"/>
    <w:multiLevelType w:val="hybridMultilevel"/>
    <w:tmpl w:val="2C6A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677CD7"/>
    <w:multiLevelType w:val="hybridMultilevel"/>
    <w:tmpl w:val="3C4A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33965"/>
    <w:multiLevelType w:val="hybridMultilevel"/>
    <w:tmpl w:val="2AE27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4B51"/>
    <w:multiLevelType w:val="hybridMultilevel"/>
    <w:tmpl w:val="443E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655780"/>
    <w:multiLevelType w:val="hybridMultilevel"/>
    <w:tmpl w:val="1B947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4161C2"/>
    <w:multiLevelType w:val="hybridMultilevel"/>
    <w:tmpl w:val="58CC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AF5D49"/>
    <w:multiLevelType w:val="hybridMultilevel"/>
    <w:tmpl w:val="1430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B33E7"/>
    <w:multiLevelType w:val="hybridMultilevel"/>
    <w:tmpl w:val="B4244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02FF3"/>
    <w:multiLevelType w:val="hybridMultilevel"/>
    <w:tmpl w:val="8A50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196DE1"/>
    <w:multiLevelType w:val="hybridMultilevel"/>
    <w:tmpl w:val="1DA8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84C22"/>
    <w:multiLevelType w:val="hybridMultilevel"/>
    <w:tmpl w:val="FCF86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1C3EC4"/>
    <w:multiLevelType w:val="hybridMultilevel"/>
    <w:tmpl w:val="EA14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6F41B5"/>
    <w:multiLevelType w:val="hybridMultilevel"/>
    <w:tmpl w:val="1CEC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0D41A1"/>
    <w:multiLevelType w:val="hybridMultilevel"/>
    <w:tmpl w:val="FF783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E22D4"/>
    <w:multiLevelType w:val="hybridMultilevel"/>
    <w:tmpl w:val="AEB0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FB2E35"/>
    <w:multiLevelType w:val="hybridMultilevel"/>
    <w:tmpl w:val="D8AA9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503BEE"/>
    <w:multiLevelType w:val="hybridMultilevel"/>
    <w:tmpl w:val="B3C2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C3A1A"/>
    <w:multiLevelType w:val="hybridMultilevel"/>
    <w:tmpl w:val="745AF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466A32"/>
    <w:multiLevelType w:val="hybridMultilevel"/>
    <w:tmpl w:val="9A72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04CC1"/>
    <w:multiLevelType w:val="hybridMultilevel"/>
    <w:tmpl w:val="8C8C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F0D86"/>
    <w:multiLevelType w:val="hybridMultilevel"/>
    <w:tmpl w:val="F7D89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29"/>
  </w:num>
  <w:num w:numId="4">
    <w:abstractNumId w:val="20"/>
  </w:num>
  <w:num w:numId="5">
    <w:abstractNumId w:val="8"/>
  </w:num>
  <w:num w:numId="6">
    <w:abstractNumId w:val="7"/>
  </w:num>
  <w:num w:numId="7">
    <w:abstractNumId w:val="26"/>
  </w:num>
  <w:num w:numId="8">
    <w:abstractNumId w:val="11"/>
  </w:num>
  <w:num w:numId="9">
    <w:abstractNumId w:val="4"/>
  </w:num>
  <w:num w:numId="10">
    <w:abstractNumId w:val="10"/>
  </w:num>
  <w:num w:numId="11">
    <w:abstractNumId w:val="23"/>
  </w:num>
  <w:num w:numId="12">
    <w:abstractNumId w:val="21"/>
  </w:num>
  <w:num w:numId="13">
    <w:abstractNumId w:val="30"/>
  </w:num>
  <w:num w:numId="14">
    <w:abstractNumId w:val="0"/>
  </w:num>
  <w:num w:numId="15">
    <w:abstractNumId w:val="6"/>
  </w:num>
  <w:num w:numId="16">
    <w:abstractNumId w:val="18"/>
  </w:num>
  <w:num w:numId="17">
    <w:abstractNumId w:val="17"/>
  </w:num>
  <w:num w:numId="18">
    <w:abstractNumId w:val="14"/>
  </w:num>
  <w:num w:numId="19">
    <w:abstractNumId w:val="28"/>
  </w:num>
  <w:num w:numId="20">
    <w:abstractNumId w:val="9"/>
  </w:num>
  <w:num w:numId="21">
    <w:abstractNumId w:val="24"/>
  </w:num>
  <w:num w:numId="22">
    <w:abstractNumId w:val="1"/>
  </w:num>
  <w:num w:numId="23">
    <w:abstractNumId w:val="19"/>
  </w:num>
  <w:num w:numId="24">
    <w:abstractNumId w:val="12"/>
  </w:num>
  <w:num w:numId="25">
    <w:abstractNumId w:val="31"/>
  </w:num>
  <w:num w:numId="26">
    <w:abstractNumId w:val="2"/>
  </w:num>
  <w:num w:numId="27">
    <w:abstractNumId w:val="13"/>
  </w:num>
  <w:num w:numId="28">
    <w:abstractNumId w:val="5"/>
  </w:num>
  <w:num w:numId="29">
    <w:abstractNumId w:val="3"/>
  </w:num>
  <w:num w:numId="30">
    <w:abstractNumId w:val="16"/>
  </w:num>
  <w:num w:numId="31">
    <w:abstractNumId w:val="15"/>
  </w:num>
  <w:num w:numId="32">
    <w:abstractNumId w:val="2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4B"/>
    <w:rsid w:val="00046656"/>
    <w:rsid w:val="00140A52"/>
    <w:rsid w:val="00164BF6"/>
    <w:rsid w:val="001706ED"/>
    <w:rsid w:val="001A0F7D"/>
    <w:rsid w:val="001A38BB"/>
    <w:rsid w:val="001B76CB"/>
    <w:rsid w:val="00261D56"/>
    <w:rsid w:val="002F2E40"/>
    <w:rsid w:val="00313668"/>
    <w:rsid w:val="003C0957"/>
    <w:rsid w:val="003E6637"/>
    <w:rsid w:val="00467937"/>
    <w:rsid w:val="00497B54"/>
    <w:rsid w:val="0051311E"/>
    <w:rsid w:val="00527521"/>
    <w:rsid w:val="005A5367"/>
    <w:rsid w:val="005C3615"/>
    <w:rsid w:val="006174AC"/>
    <w:rsid w:val="00645CEB"/>
    <w:rsid w:val="006A1AEC"/>
    <w:rsid w:val="00710A09"/>
    <w:rsid w:val="00714899"/>
    <w:rsid w:val="00727F98"/>
    <w:rsid w:val="00773651"/>
    <w:rsid w:val="00775779"/>
    <w:rsid w:val="007C5B70"/>
    <w:rsid w:val="007D476C"/>
    <w:rsid w:val="007F64C0"/>
    <w:rsid w:val="00875180"/>
    <w:rsid w:val="008A7B5A"/>
    <w:rsid w:val="008C3130"/>
    <w:rsid w:val="008E43B6"/>
    <w:rsid w:val="00963C0D"/>
    <w:rsid w:val="009B5723"/>
    <w:rsid w:val="009E7E1C"/>
    <w:rsid w:val="00A323F4"/>
    <w:rsid w:val="00A943E8"/>
    <w:rsid w:val="00B002E0"/>
    <w:rsid w:val="00B4145F"/>
    <w:rsid w:val="00B459E6"/>
    <w:rsid w:val="00B50DAF"/>
    <w:rsid w:val="00B5224B"/>
    <w:rsid w:val="00B5536C"/>
    <w:rsid w:val="00B67716"/>
    <w:rsid w:val="00BD283C"/>
    <w:rsid w:val="00C82ED5"/>
    <w:rsid w:val="00DA65F7"/>
    <w:rsid w:val="00E16204"/>
    <w:rsid w:val="00EB4411"/>
    <w:rsid w:val="00EC67B8"/>
    <w:rsid w:val="00EF363F"/>
    <w:rsid w:val="00F16ECA"/>
    <w:rsid w:val="00F3312E"/>
    <w:rsid w:val="00F74566"/>
    <w:rsid w:val="00F8285D"/>
    <w:rsid w:val="00F974AC"/>
    <w:rsid w:val="00FE0EB9"/>
    <w:rsid w:val="00FE1E7A"/>
    <w:rsid w:val="00FF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32E07E"/>
  <w14:defaultImageDpi w14:val="300"/>
  <w15:docId w15:val="{77FB38EB-F4F9-4E14-80E1-57BB7C3F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12E"/>
    <w:pPr>
      <w:spacing w:after="200" w:line="276" w:lineRule="auto"/>
    </w:pPr>
    <w:rPr>
      <w:rFonts w:ascii="Times New Roman" w:eastAsiaTheme="minorHAnsi" w:hAnsi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706E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1706ED"/>
    <w:pPr>
      <w:keepNext/>
      <w:keepLines/>
      <w:autoSpaceDE w:val="0"/>
      <w:autoSpaceDN w:val="0"/>
      <w:spacing w:before="200" w:after="0" w:line="240" w:lineRule="auto"/>
      <w:outlineLvl w:val="1"/>
    </w:pPr>
    <w:rPr>
      <w:rFonts w:eastAsiaTheme="minorEastAsia"/>
      <w:b/>
      <w:bCs/>
      <w:color w:val="808080"/>
      <w:sz w:val="26"/>
      <w:szCs w:val="26"/>
      <w:lang w:eastAsia="ru-RU"/>
    </w:rPr>
  </w:style>
  <w:style w:type="paragraph" w:styleId="3">
    <w:name w:val="heading 3"/>
    <w:basedOn w:val="a"/>
    <w:link w:val="30"/>
    <w:uiPriority w:val="9"/>
    <w:qFormat/>
    <w:rsid w:val="001706ED"/>
    <w:pPr>
      <w:autoSpaceDE w:val="0"/>
      <w:autoSpaceDN w:val="0"/>
      <w:spacing w:before="100" w:after="100" w:line="240" w:lineRule="auto"/>
      <w:outlineLvl w:val="2"/>
    </w:pPr>
    <w:rPr>
      <w:rFonts w:eastAsiaTheme="minorEastAsia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706ED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5">
    <w:name w:val="heading 5"/>
    <w:basedOn w:val="a"/>
    <w:link w:val="50"/>
    <w:uiPriority w:val="9"/>
    <w:qFormat/>
    <w:rsid w:val="001706ED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06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706ED"/>
    <w:rPr>
      <w:rFonts w:ascii="Times New Roman" w:hAnsi="Times New Roman"/>
      <w:b/>
      <w:bCs/>
      <w:color w:val="80808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06ED"/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706ED"/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50">
    <w:name w:val="Заголовок 5 Знак"/>
    <w:basedOn w:val="a0"/>
    <w:link w:val="5"/>
    <w:uiPriority w:val="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unhideWhenUsed/>
    <w:rsid w:val="001706ED"/>
    <w:pPr>
      <w:spacing w:after="120" w:line="48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3">
    <w:name w:val="Гипертекстовая ссылка"/>
    <w:uiPriority w:val="99"/>
    <w:rsid w:val="001706ED"/>
    <w:rPr>
      <w:color w:val="106BBE"/>
    </w:rPr>
  </w:style>
  <w:style w:type="paragraph" w:styleId="a4">
    <w:name w:val="footnote text"/>
    <w:basedOn w:val="a"/>
    <w:link w:val="a5"/>
    <w:uiPriority w:val="99"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iPriority w:val="99"/>
    <w:rsid w:val="001706ED"/>
    <w:rPr>
      <w:vertAlign w:val="superscript"/>
    </w:rPr>
  </w:style>
  <w:style w:type="paragraph" w:styleId="31">
    <w:name w:val="Body Text 3"/>
    <w:basedOn w:val="a"/>
    <w:link w:val="32"/>
    <w:unhideWhenUsed/>
    <w:rsid w:val="001706ED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rsid w:val="001706ED"/>
    <w:rPr>
      <w:rFonts w:eastAsiaTheme="minorHAnsi"/>
      <w:sz w:val="16"/>
      <w:szCs w:val="16"/>
      <w:lang w:eastAsia="en-US"/>
    </w:rPr>
  </w:style>
  <w:style w:type="paragraph" w:styleId="a7">
    <w:name w:val="Plain Text"/>
    <w:basedOn w:val="a"/>
    <w:link w:val="a8"/>
    <w:uiPriority w:val="99"/>
    <w:rsid w:val="001706E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uiPriority w:val="99"/>
    <w:rsid w:val="001706E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1706ED"/>
    <w:pPr>
      <w:ind w:left="720"/>
      <w:contextualSpacing/>
    </w:pPr>
  </w:style>
  <w:style w:type="paragraph" w:customStyle="1" w:styleId="Normal1">
    <w:name w:val="Обычный.Normal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Normal11">
    <w:name w:val="Обычный.Normal11"/>
    <w:uiPriority w:val="99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Body Text Indent"/>
    <w:basedOn w:val="a"/>
    <w:link w:val="ab"/>
    <w:unhideWhenUsed/>
    <w:rsid w:val="001706ED"/>
    <w:pPr>
      <w:spacing w:after="120" w:line="240" w:lineRule="auto"/>
      <w:ind w:left="283"/>
    </w:pPr>
    <w:rPr>
      <w:rFonts w:eastAsia="Times New Roman" w:cs="Times New Roman"/>
      <w:sz w:val="20"/>
      <w:szCs w:val="20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c">
    <w:name w:val="Основной текст.бпОсновной текст"/>
    <w:basedOn w:val="Normal1"/>
    <w:uiPriority w:val="99"/>
    <w:rsid w:val="001706ED"/>
    <w:pPr>
      <w:widowControl w:val="0"/>
    </w:pPr>
    <w:rPr>
      <w:sz w:val="26"/>
    </w:rPr>
  </w:style>
  <w:style w:type="paragraph" w:customStyle="1" w:styleId="ConsPlusNormal">
    <w:name w:val="ConsPlusNormal"/>
    <w:rsid w:val="001706ED"/>
    <w:pPr>
      <w:ind w:firstLine="720"/>
    </w:pPr>
    <w:rPr>
      <w:rFonts w:ascii="Arial" w:eastAsia="Times New Roman" w:hAnsi="Arial" w:cs="Times New Roman"/>
      <w:sz w:val="20"/>
      <w:szCs w:val="20"/>
      <w:lang w:eastAsia="ru-RU"/>
    </w:rPr>
  </w:style>
  <w:style w:type="character" w:styleId="ad">
    <w:name w:val="annotation reference"/>
    <w:basedOn w:val="a0"/>
    <w:unhideWhenUsed/>
    <w:rsid w:val="001706ED"/>
    <w:rPr>
      <w:sz w:val="16"/>
      <w:szCs w:val="16"/>
    </w:rPr>
  </w:style>
  <w:style w:type="paragraph" w:styleId="ae">
    <w:name w:val="annotation text"/>
    <w:basedOn w:val="a"/>
    <w:link w:val="af"/>
    <w:unhideWhenUsed/>
    <w:rsid w:val="001706ED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f">
    <w:name w:val="Текст примечания Знак"/>
    <w:basedOn w:val="a0"/>
    <w:link w:val="ae"/>
    <w:rsid w:val="001706E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unhideWhenUsed/>
    <w:rsid w:val="001706E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rsid w:val="001706E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"/>
    <w:link w:val="af3"/>
    <w:uiPriority w:val="99"/>
    <w:unhideWhenUsed/>
    <w:rsid w:val="001706ED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3">
    <w:name w:val="Текст выноски Знак"/>
    <w:basedOn w:val="a0"/>
    <w:link w:val="af2"/>
    <w:uiPriority w:val="99"/>
    <w:rsid w:val="001706ED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pple-converted-space">
    <w:name w:val="apple-converted-space"/>
    <w:basedOn w:val="a0"/>
    <w:rsid w:val="001706ED"/>
  </w:style>
  <w:style w:type="character" w:styleId="af4">
    <w:name w:val="Hyperlink"/>
    <w:basedOn w:val="a0"/>
    <w:uiPriority w:val="99"/>
    <w:unhideWhenUsed/>
    <w:rsid w:val="001706ED"/>
    <w:rPr>
      <w:color w:val="0000FF"/>
      <w:u w:val="single"/>
    </w:rPr>
  </w:style>
  <w:style w:type="paragraph" w:styleId="af5">
    <w:name w:val="No Spacing"/>
    <w:uiPriority w:val="1"/>
    <w:qFormat/>
    <w:rsid w:val="001706ED"/>
    <w:rPr>
      <w:rFonts w:eastAsiaTheme="minorHAnsi"/>
      <w:sz w:val="22"/>
      <w:szCs w:val="22"/>
      <w:lang w:eastAsia="en-US"/>
    </w:rPr>
  </w:style>
  <w:style w:type="paragraph" w:customStyle="1" w:styleId="11">
    <w:name w:val="Основной текст.бпОсновной текст1"/>
    <w:basedOn w:val="Normal11"/>
    <w:rsid w:val="001706ED"/>
    <w:pPr>
      <w:widowControl w:val="0"/>
      <w:autoSpaceDE w:val="0"/>
      <w:autoSpaceDN w:val="0"/>
    </w:pPr>
    <w:rPr>
      <w:rFonts w:eastAsiaTheme="minorEastAsia" w:cstheme="minorBidi"/>
      <w:sz w:val="26"/>
      <w:szCs w:val="26"/>
    </w:rPr>
  </w:style>
  <w:style w:type="paragraph" w:customStyle="1" w:styleId="FR1">
    <w:name w:val="FR1"/>
    <w:rsid w:val="001706ED"/>
    <w:pPr>
      <w:widowControl w:val="0"/>
      <w:autoSpaceDE w:val="0"/>
      <w:autoSpaceDN w:val="0"/>
      <w:spacing w:line="380" w:lineRule="auto"/>
      <w:jc w:val="both"/>
    </w:pPr>
    <w:rPr>
      <w:rFonts w:ascii="Times New Roman" w:hAnsi="Times New Roman"/>
      <w:lang w:eastAsia="ru-RU"/>
    </w:rPr>
  </w:style>
  <w:style w:type="paragraph" w:customStyle="1" w:styleId="BodyTextIndent1">
    <w:name w:val="Body Text Indent1"/>
    <w:basedOn w:val="Normal1"/>
    <w:rsid w:val="001706ED"/>
    <w:pPr>
      <w:tabs>
        <w:tab w:val="left" w:pos="709"/>
        <w:tab w:val="left" w:pos="8222"/>
      </w:tabs>
      <w:autoSpaceDE w:val="0"/>
      <w:autoSpaceDN w:val="0"/>
      <w:jc w:val="both"/>
    </w:pPr>
    <w:rPr>
      <w:rFonts w:eastAsiaTheme="minorEastAsia" w:cstheme="minorBidi"/>
      <w:b/>
      <w:bCs/>
      <w:sz w:val="24"/>
      <w:szCs w:val="24"/>
    </w:rPr>
  </w:style>
  <w:style w:type="paragraph" w:styleId="af6">
    <w:name w:val="Subtitle"/>
    <w:basedOn w:val="Normal1"/>
    <w:link w:val="af7"/>
    <w:qFormat/>
    <w:rsid w:val="001706ED"/>
    <w:pPr>
      <w:autoSpaceDE w:val="0"/>
      <w:autoSpaceDN w:val="0"/>
      <w:jc w:val="center"/>
    </w:pPr>
    <w:rPr>
      <w:rFonts w:ascii="Arial" w:eastAsiaTheme="minorEastAsia" w:hAnsi="Arial" w:cs="Arial"/>
      <w:b/>
      <w:bCs/>
      <w:sz w:val="24"/>
      <w:szCs w:val="24"/>
    </w:rPr>
  </w:style>
  <w:style w:type="character" w:customStyle="1" w:styleId="af7">
    <w:name w:val="Подзаголовок Знак"/>
    <w:basedOn w:val="a0"/>
    <w:link w:val="af6"/>
    <w:rsid w:val="001706ED"/>
    <w:rPr>
      <w:rFonts w:ascii="Arial" w:hAnsi="Arial" w:cs="Arial"/>
      <w:b/>
      <w:bCs/>
      <w:lang w:eastAsia="ru-RU"/>
    </w:rPr>
  </w:style>
  <w:style w:type="paragraph" w:customStyle="1" w:styleId="Normal2">
    <w:name w:val="Normal2"/>
    <w:uiPriority w:val="99"/>
    <w:rsid w:val="001706ED"/>
    <w:pPr>
      <w:widowControl w:val="0"/>
      <w:autoSpaceDE w:val="0"/>
      <w:autoSpaceDN w:val="0"/>
      <w:snapToGrid w:val="0"/>
    </w:pPr>
    <w:rPr>
      <w:rFonts w:ascii="Times New Roman" w:hAnsi="Times New Roman"/>
      <w:lang w:val="en-US" w:eastAsia="ru-RU"/>
    </w:rPr>
  </w:style>
  <w:style w:type="paragraph" w:styleId="33">
    <w:name w:val="Body Text Indent 3"/>
    <w:basedOn w:val="Normal1"/>
    <w:link w:val="34"/>
    <w:rsid w:val="001706ED"/>
    <w:pPr>
      <w:suppressAutoHyphens/>
      <w:autoSpaceDE w:val="0"/>
      <w:autoSpaceDN w:val="0"/>
      <w:ind w:left="292"/>
    </w:pPr>
    <w:rPr>
      <w:rFonts w:eastAsiaTheme="minorEastAsia" w:cstheme="minorBidi"/>
      <w:sz w:val="26"/>
      <w:szCs w:val="26"/>
    </w:rPr>
  </w:style>
  <w:style w:type="character" w:customStyle="1" w:styleId="34">
    <w:name w:val="Основной текст с отступом 3 Знак"/>
    <w:basedOn w:val="a0"/>
    <w:link w:val="33"/>
    <w:rsid w:val="001706ED"/>
    <w:rPr>
      <w:rFonts w:ascii="Times New Roman" w:hAnsi="Times New Roman"/>
      <w:sz w:val="26"/>
      <w:szCs w:val="26"/>
      <w:lang w:eastAsia="ru-RU"/>
    </w:rPr>
  </w:style>
  <w:style w:type="paragraph" w:styleId="af8">
    <w:name w:val="header"/>
    <w:basedOn w:val="a"/>
    <w:link w:val="af9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9">
    <w:name w:val="Верхний колонтитул Знак"/>
    <w:basedOn w:val="a0"/>
    <w:link w:val="af8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styleId="afa">
    <w:name w:val="footer"/>
    <w:basedOn w:val="a"/>
    <w:link w:val="afb"/>
    <w:uiPriority w:val="99"/>
    <w:rsid w:val="001706ED"/>
    <w:pPr>
      <w:tabs>
        <w:tab w:val="center" w:pos="4677"/>
        <w:tab w:val="right" w:pos="9355"/>
      </w:tabs>
      <w:autoSpaceDE w:val="0"/>
      <w:autoSpaceDN w:val="0"/>
      <w:spacing w:after="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b">
    <w:name w:val="Нижний колонтитул Знак"/>
    <w:basedOn w:val="a0"/>
    <w:link w:val="afa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1706ED"/>
    <w:rPr>
      <w:rFonts w:cstheme="minorBidi"/>
      <w:i/>
      <w:iCs/>
    </w:rPr>
  </w:style>
  <w:style w:type="paragraph" w:customStyle="1" w:styleId="s13">
    <w:name w:val="s_13"/>
    <w:basedOn w:val="a"/>
    <w:rsid w:val="001706ED"/>
    <w:pPr>
      <w:autoSpaceDE w:val="0"/>
      <w:autoSpaceDN w:val="0"/>
      <w:spacing w:after="0" w:line="240" w:lineRule="auto"/>
      <w:ind w:firstLine="720"/>
    </w:pPr>
    <w:rPr>
      <w:rFonts w:eastAsiaTheme="minorEastAsia"/>
      <w:sz w:val="20"/>
      <w:szCs w:val="20"/>
      <w:lang w:eastAsia="ru-RU"/>
    </w:rPr>
  </w:style>
  <w:style w:type="character" w:customStyle="1" w:styleId="red1">
    <w:name w:val="red1"/>
    <w:basedOn w:val="a0"/>
    <w:rsid w:val="001706ED"/>
    <w:rPr>
      <w:rFonts w:cstheme="minorBidi"/>
      <w:color w:val="FF0000"/>
    </w:rPr>
  </w:style>
  <w:style w:type="paragraph" w:styleId="afd">
    <w:name w:val="Body Text"/>
    <w:basedOn w:val="a"/>
    <w:link w:val="afe"/>
    <w:uiPriority w:val="99"/>
    <w:rsid w:val="001706ED"/>
    <w:pPr>
      <w:autoSpaceDE w:val="0"/>
      <w:autoSpaceDN w:val="0"/>
      <w:spacing w:after="120" w:line="240" w:lineRule="auto"/>
    </w:pPr>
    <w:rPr>
      <w:rFonts w:eastAsiaTheme="minorEastAsia"/>
      <w:sz w:val="20"/>
      <w:szCs w:val="20"/>
      <w:lang w:eastAsia="ru-RU"/>
    </w:rPr>
  </w:style>
  <w:style w:type="character" w:customStyle="1" w:styleId="afe">
    <w:name w:val="Основной текст Знак"/>
    <w:basedOn w:val="a0"/>
    <w:link w:val="afd"/>
    <w:uiPriority w:val="99"/>
    <w:rsid w:val="001706ED"/>
    <w:rPr>
      <w:rFonts w:ascii="Times New Roman" w:hAnsi="Times New Roman"/>
      <w:sz w:val="20"/>
      <w:szCs w:val="20"/>
      <w:lang w:eastAsia="ru-RU"/>
    </w:rPr>
  </w:style>
  <w:style w:type="paragraph" w:customStyle="1" w:styleId="aff">
    <w:name w:val="Прижатый влево"/>
    <w:basedOn w:val="a"/>
    <w:next w:val="a"/>
    <w:uiPriority w:val="99"/>
    <w:rsid w:val="001706ED"/>
    <w:pPr>
      <w:autoSpaceDE w:val="0"/>
      <w:autoSpaceDN w:val="0"/>
      <w:spacing w:after="0" w:line="240" w:lineRule="auto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CommentSubjectChar">
    <w:name w:val="Comment Subject Char"/>
    <w:basedOn w:val="af"/>
    <w:uiPriority w:val="99"/>
    <w:rsid w:val="001706ED"/>
    <w:rPr>
      <w:rFonts w:ascii="Times New Roman" w:eastAsia="Times New Roman" w:hAnsi="Times New Roman" w:cstheme="minorBidi"/>
      <w:b/>
      <w:bCs/>
      <w:sz w:val="20"/>
      <w:szCs w:val="20"/>
      <w:lang w:eastAsia="ru-RU"/>
    </w:rPr>
  </w:style>
  <w:style w:type="paragraph" w:customStyle="1" w:styleId="ConsPlusTitlePage">
    <w:name w:val="ConsPlusTitlePage"/>
    <w:uiPriority w:val="99"/>
    <w:rsid w:val="001706ED"/>
    <w:pPr>
      <w:widowControl w:val="0"/>
      <w:autoSpaceDE w:val="0"/>
      <w:autoSpaceDN w:val="0"/>
    </w:pPr>
    <w:rPr>
      <w:rFonts w:ascii="Tahoma" w:hAnsi="Tahoma" w:cs="Tahoma"/>
      <w:sz w:val="20"/>
      <w:szCs w:val="20"/>
      <w:lang w:eastAsia="ru-RU"/>
    </w:rPr>
  </w:style>
  <w:style w:type="character" w:styleId="aff0">
    <w:name w:val="Strong"/>
    <w:basedOn w:val="a0"/>
    <w:uiPriority w:val="22"/>
    <w:qFormat/>
    <w:rsid w:val="001706ED"/>
    <w:rPr>
      <w:b/>
      <w:bCs/>
    </w:rPr>
  </w:style>
  <w:style w:type="paragraph" w:styleId="aff1">
    <w:name w:val="Normal (Web)"/>
    <w:basedOn w:val="a"/>
    <w:uiPriority w:val="99"/>
    <w:unhideWhenUsed/>
    <w:rsid w:val="001706E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blk">
    <w:name w:val="blk"/>
    <w:basedOn w:val="a0"/>
    <w:rsid w:val="001706ED"/>
  </w:style>
  <w:style w:type="paragraph" w:customStyle="1" w:styleId="12">
    <w:name w:val="Абзац списка1"/>
    <w:basedOn w:val="a"/>
    <w:rsid w:val="001706ED"/>
    <w:pPr>
      <w:ind w:left="720"/>
      <w:contextualSpacing/>
    </w:pPr>
    <w:rPr>
      <w:rFonts w:ascii="Calibri" w:eastAsia="Times New Roman" w:hAnsi="Calibri" w:cs="Times New Roman"/>
    </w:rPr>
  </w:style>
  <w:style w:type="character" w:styleId="aff2">
    <w:name w:val="page number"/>
    <w:basedOn w:val="a0"/>
    <w:uiPriority w:val="99"/>
    <w:semiHidden/>
    <w:unhideWhenUsed/>
    <w:rsid w:val="00F33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E8A49A289C45A47BD117351DBEA2B5C" ma:contentTypeVersion="7" ma:contentTypeDescription="Создание документа." ma:contentTypeScope="" ma:versionID="4394ce5a1a7bae0c436247bda0ccf68a">
  <xsd:schema xmlns:xsd="http://www.w3.org/2001/XMLSchema" xmlns:xs="http://www.w3.org/2001/XMLSchema" xmlns:p="http://schemas.microsoft.com/office/2006/metadata/properties" xmlns:ns2="71757cf3-3ea1-4673-b7b3-91ceddc9ed40" targetNamespace="http://schemas.microsoft.com/office/2006/metadata/properties" ma:root="true" ma:fieldsID="7f1f3e66cf11bbc717e695c624cbbabb" ns2:_="">
    <xsd:import namespace="71757cf3-3ea1-4673-b7b3-91ceddc9ed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57cf3-3ea1-4673-b7b3-91ceddc9ed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37706-1231-4D51-9AB7-0AC589AEBC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4C95D0-35B9-4927-BB8A-3905F07F10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F3A0BB-A34B-482C-8A44-2E688A2EF7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757cf3-3ea1-4673-b7b3-91ceddc9ed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2815</Words>
  <Characters>16049</Characters>
  <Application>Microsoft Office Word</Application>
  <DocSecurity>0</DocSecurity>
  <Lines>133</Lines>
  <Paragraphs>37</Paragraphs>
  <ScaleCrop>false</ScaleCrop>
  <Company/>
  <LinksUpToDate>false</LinksUpToDate>
  <CharactersWithSpaces>18827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</dc:creator>
  <cp:keywords/>
  <dc:description/>
  <cp:lastModifiedBy>Петр Кирюхов</cp:lastModifiedBy>
  <cp:revision>22</cp:revision>
  <dcterms:created xsi:type="dcterms:W3CDTF">2017-02-26T08:57:00Z</dcterms:created>
  <dcterms:modified xsi:type="dcterms:W3CDTF">2020-05-05T16:49:00Z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0x010100DE8A49A289C45A47BD117351DBEA2B5C</vt:lpwstr>
  </property>
</Properties>
</file>