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F8E84" w14:textId="77777777" w:rsidR="001326DB" w:rsidRDefault="001326DB" w:rsidP="001326DB">
      <w:pPr>
        <w:spacing w:after="0" w:line="23" w:lineRule="atLeast"/>
      </w:pPr>
    </w:p>
    <w:p w14:paraId="525B3EFC" w14:textId="49D20BD1" w:rsidR="001326DB" w:rsidRPr="00753A1F" w:rsidRDefault="001326DB" w:rsidP="001326DB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Глава </w:t>
      </w:r>
      <w:r w:rsidR="00C64A99">
        <w:rPr>
          <w:rFonts w:eastAsia="Times New Roman" w:cs="Times New Roman"/>
          <w:b/>
          <w:bCs/>
          <w:sz w:val="24"/>
          <w:szCs w:val="24"/>
          <w:lang w:eastAsia="ru-RU"/>
        </w:rPr>
        <w:t>8</w:t>
      </w:r>
      <w:r w:rsidRPr="00753A1F">
        <w:rPr>
          <w:rFonts w:eastAsia="Times New Roman" w:cs="Times New Roman"/>
          <w:b/>
          <w:bCs/>
          <w:sz w:val="24"/>
          <w:szCs w:val="24"/>
          <w:lang w:eastAsia="ru-RU"/>
        </w:rPr>
        <w:t>. Мировой финансовый рынок</w:t>
      </w:r>
    </w:p>
    <w:p w14:paraId="118C2C01" w14:textId="77777777" w:rsidR="001326DB" w:rsidRPr="00753A1F" w:rsidRDefault="001326DB" w:rsidP="001326DB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4980EFC4" w14:textId="04DE7E6C" w:rsidR="001326DB" w:rsidRPr="00753A1F" w:rsidRDefault="001326DB" w:rsidP="001326DB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Тема </w:t>
      </w:r>
      <w:r w:rsidR="00C64A99">
        <w:rPr>
          <w:rFonts w:eastAsia="Times New Roman" w:cs="Times New Roman"/>
          <w:b/>
          <w:bCs/>
          <w:sz w:val="24"/>
          <w:szCs w:val="24"/>
          <w:lang w:eastAsia="ru-RU"/>
        </w:rPr>
        <w:t>8</w:t>
      </w:r>
      <w:r w:rsidRPr="00753A1F">
        <w:rPr>
          <w:rFonts w:eastAsia="Times New Roman" w:cs="Times New Roman"/>
          <w:b/>
          <w:bCs/>
          <w:sz w:val="24"/>
          <w:szCs w:val="24"/>
          <w:lang w:eastAsia="ru-RU"/>
        </w:rPr>
        <w:t>.1. Развитие мирового финансового рынка</w:t>
      </w:r>
    </w:p>
    <w:p w14:paraId="361AC708" w14:textId="77777777" w:rsidR="001326DB" w:rsidRDefault="001326DB" w:rsidP="001326DB">
      <w:pPr>
        <w:tabs>
          <w:tab w:val="left" w:pos="360"/>
        </w:tabs>
        <w:spacing w:after="0" w:line="23" w:lineRule="atLeast"/>
        <w:rPr>
          <w:rFonts w:eastAsia="Times New Roman" w:cs="Times New Roman"/>
          <w:bCs/>
          <w:lang w:eastAsia="ru-RU"/>
        </w:rPr>
      </w:pPr>
    </w:p>
    <w:p w14:paraId="3C5259D8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Г</w:t>
      </w:r>
      <w:r w:rsidRPr="00753A1F">
        <w:rPr>
          <w:rFonts w:eastAsia="Times New Roman" w:cs="Times New Roman"/>
          <w:bCs/>
          <w:lang w:eastAsia="ru-RU"/>
        </w:rPr>
        <w:t>лавный вид ценных бумаг, обращавшихся на биржах в XVII-XVIII вв.</w:t>
      </w:r>
      <w:r>
        <w:rPr>
          <w:rFonts w:eastAsia="Times New Roman" w:cs="Times New Roman"/>
          <w:bCs/>
          <w:lang w:eastAsia="ru-RU"/>
        </w:rPr>
        <w:t xml:space="preserve"> – г</w:t>
      </w:r>
      <w:r w:rsidRPr="00753A1F">
        <w:rPr>
          <w:rFonts w:eastAsia="Times New Roman" w:cs="Times New Roman"/>
          <w:bCs/>
          <w:lang w:eastAsia="ru-RU"/>
        </w:rPr>
        <w:t>осударственные</w:t>
      </w:r>
      <w:r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>облигации</w:t>
      </w:r>
    </w:p>
    <w:p w14:paraId="3C08C649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7ABAE2B" w14:textId="77777777" w:rsidR="001326DB" w:rsidRPr="00CD4033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D4033">
        <w:rPr>
          <w:rFonts w:eastAsia="Times New Roman" w:cs="Times New Roman"/>
          <w:bCs/>
          <w:lang w:eastAsia="ru-RU"/>
        </w:rPr>
        <w:t>Первая биржа в России в 1703 г.;</w:t>
      </w:r>
    </w:p>
    <w:p w14:paraId="504584AE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5FFF7FB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 xml:space="preserve">Фондовые рынки </w:t>
      </w:r>
      <w:r>
        <w:rPr>
          <w:rFonts w:eastAsia="Times New Roman" w:cs="Times New Roman"/>
          <w:bCs/>
          <w:lang w:eastAsia="ru-RU"/>
        </w:rPr>
        <w:t xml:space="preserve">следующих </w:t>
      </w:r>
      <w:r w:rsidRPr="00753A1F">
        <w:rPr>
          <w:rFonts w:eastAsia="Times New Roman" w:cs="Times New Roman"/>
          <w:bCs/>
          <w:lang w:eastAsia="ru-RU"/>
        </w:rPr>
        <w:t>стран из перечисленных принято относить к развивающимся рынкам (emerging markets)?</w:t>
      </w:r>
    </w:p>
    <w:p w14:paraId="17D919D3" w14:textId="77777777" w:rsidR="001326DB" w:rsidRPr="00041D7B" w:rsidRDefault="001326DB" w:rsidP="00C64A99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41D7B">
        <w:rPr>
          <w:rFonts w:eastAsia="Times New Roman" w:cs="Times New Roman"/>
          <w:bCs/>
          <w:lang w:eastAsia="ru-RU"/>
        </w:rPr>
        <w:t>Китай;</w:t>
      </w:r>
    </w:p>
    <w:p w14:paraId="7EC06B9F" w14:textId="77777777" w:rsidR="001326DB" w:rsidRPr="00041D7B" w:rsidRDefault="001326DB" w:rsidP="00C64A99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41D7B">
        <w:rPr>
          <w:rFonts w:eastAsia="Times New Roman" w:cs="Times New Roman"/>
          <w:bCs/>
          <w:lang w:eastAsia="ru-RU"/>
        </w:rPr>
        <w:t>Россия.</w:t>
      </w:r>
    </w:p>
    <w:p w14:paraId="7935F96B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6AE826C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М</w:t>
      </w:r>
      <w:r w:rsidRPr="00753A1F">
        <w:rPr>
          <w:rFonts w:eastAsia="Times New Roman" w:cs="Times New Roman"/>
          <w:bCs/>
          <w:lang w:eastAsia="ru-RU"/>
        </w:rPr>
        <w:t>одель финансово</w:t>
      </w:r>
      <w:r>
        <w:rPr>
          <w:rFonts w:eastAsia="Times New Roman" w:cs="Times New Roman"/>
          <w:bCs/>
          <w:lang w:eastAsia="ru-RU"/>
        </w:rPr>
        <w:t>й системы, основанная на банках действует в:</w:t>
      </w:r>
    </w:p>
    <w:p w14:paraId="0FCE2927" w14:textId="77777777" w:rsidR="001326DB" w:rsidRPr="009C42AB" w:rsidRDefault="001326DB" w:rsidP="00C64A99">
      <w:pPr>
        <w:pStyle w:val="a9"/>
        <w:numPr>
          <w:ilvl w:val="0"/>
          <w:numId w:val="1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Германия;</w:t>
      </w:r>
    </w:p>
    <w:p w14:paraId="730D6E51" w14:textId="77777777" w:rsidR="001326DB" w:rsidRPr="009C42AB" w:rsidRDefault="001326DB" w:rsidP="00C64A99">
      <w:pPr>
        <w:pStyle w:val="a9"/>
        <w:numPr>
          <w:ilvl w:val="0"/>
          <w:numId w:val="1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Италия.</w:t>
      </w:r>
    </w:p>
    <w:p w14:paraId="654E1F9F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11FFCE5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М</w:t>
      </w:r>
      <w:r w:rsidRPr="00753A1F">
        <w:rPr>
          <w:rFonts w:eastAsia="Times New Roman" w:cs="Times New Roman"/>
          <w:bCs/>
          <w:lang w:eastAsia="ru-RU"/>
        </w:rPr>
        <w:t>одель финансовой системы, о</w:t>
      </w:r>
      <w:r>
        <w:rPr>
          <w:rFonts w:eastAsia="Times New Roman" w:cs="Times New Roman"/>
          <w:bCs/>
          <w:lang w:eastAsia="ru-RU"/>
        </w:rPr>
        <w:t>снованная на рынке ценных бумаг действует в:</w:t>
      </w:r>
    </w:p>
    <w:p w14:paraId="43358068" w14:textId="77777777" w:rsidR="001326DB" w:rsidRPr="009C42AB" w:rsidRDefault="001326DB" w:rsidP="00C64A99">
      <w:pPr>
        <w:pStyle w:val="a9"/>
        <w:numPr>
          <w:ilvl w:val="0"/>
          <w:numId w:val="1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США;</w:t>
      </w:r>
    </w:p>
    <w:p w14:paraId="768BFDDB" w14:textId="77777777" w:rsidR="001326DB" w:rsidRPr="009C42AB" w:rsidRDefault="001326DB" w:rsidP="00C64A99">
      <w:pPr>
        <w:pStyle w:val="a9"/>
        <w:numPr>
          <w:ilvl w:val="0"/>
          <w:numId w:val="1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Великобритания.</w:t>
      </w:r>
    </w:p>
    <w:p w14:paraId="7396AB53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637773A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С</w:t>
      </w:r>
      <w:r w:rsidRPr="00753A1F">
        <w:rPr>
          <w:rFonts w:eastAsia="Times New Roman" w:cs="Times New Roman"/>
          <w:bCs/>
          <w:lang w:eastAsia="ru-RU"/>
        </w:rPr>
        <w:t>тепень развитости фондового рынка и позволяют отнести его к развитым или разв</w:t>
      </w:r>
      <w:r>
        <w:rPr>
          <w:rFonts w:eastAsia="Times New Roman" w:cs="Times New Roman"/>
          <w:bCs/>
          <w:lang w:eastAsia="ru-RU"/>
        </w:rPr>
        <w:t>ивающимся (developed, emerging) могут следующие показатели:</w:t>
      </w:r>
    </w:p>
    <w:p w14:paraId="48E5D173" w14:textId="77777777" w:rsidR="001326DB" w:rsidRPr="009C42AB" w:rsidRDefault="001326DB" w:rsidP="00C64A99">
      <w:pPr>
        <w:pStyle w:val="a9"/>
        <w:numPr>
          <w:ilvl w:val="0"/>
          <w:numId w:val="1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Величина ВВП на душу населения;</w:t>
      </w:r>
    </w:p>
    <w:p w14:paraId="33A0F97A" w14:textId="77777777" w:rsidR="001326DB" w:rsidRPr="009C42AB" w:rsidRDefault="001326DB" w:rsidP="00C64A99">
      <w:pPr>
        <w:pStyle w:val="a9"/>
        <w:numPr>
          <w:ilvl w:val="0"/>
          <w:numId w:val="1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Отношение капитализации рынка акций к ВВП;</w:t>
      </w:r>
    </w:p>
    <w:p w14:paraId="418F88D9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A81CA45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Общемировой тенденцией является</w:t>
      </w:r>
      <w:r>
        <w:rPr>
          <w:rFonts w:eastAsia="Times New Roman" w:cs="Times New Roman"/>
          <w:bCs/>
          <w:lang w:eastAsia="ru-RU"/>
        </w:rPr>
        <w:t xml:space="preserve"> с</w:t>
      </w:r>
      <w:r w:rsidRPr="00753A1F">
        <w:rPr>
          <w:rFonts w:eastAsia="Times New Roman" w:cs="Times New Roman"/>
          <w:bCs/>
          <w:lang w:eastAsia="ru-RU"/>
        </w:rPr>
        <w:t>окращение количества фондовых бирж</w:t>
      </w:r>
    </w:p>
    <w:p w14:paraId="20397FF3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8EE60AC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Биржевой рынок производных финансовых инструментов н</w:t>
      </w:r>
      <w:r>
        <w:rPr>
          <w:rFonts w:eastAsia="Times New Roman" w:cs="Times New Roman"/>
          <w:bCs/>
          <w:lang w:eastAsia="ru-RU"/>
        </w:rPr>
        <w:t>ачал быстро развиваться в ХХ в. с</w:t>
      </w:r>
      <w:r w:rsidRPr="00753A1F">
        <w:rPr>
          <w:rFonts w:eastAsia="Times New Roman" w:cs="Times New Roman"/>
          <w:bCs/>
          <w:lang w:eastAsia="ru-RU"/>
        </w:rPr>
        <w:t xml:space="preserve"> начала 70-х годов</w:t>
      </w:r>
    </w:p>
    <w:p w14:paraId="4BFF86B1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4DF16D5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Быстрое развитие рынка внебиржевых производных финансовых инструментов началось</w:t>
      </w:r>
      <w:r>
        <w:rPr>
          <w:rFonts w:eastAsia="Times New Roman" w:cs="Times New Roman"/>
          <w:bCs/>
          <w:lang w:eastAsia="ru-RU"/>
        </w:rPr>
        <w:t xml:space="preserve"> в</w:t>
      </w:r>
      <w:r w:rsidRPr="00753A1F">
        <w:rPr>
          <w:rFonts w:eastAsia="Times New Roman" w:cs="Times New Roman"/>
          <w:bCs/>
          <w:lang w:eastAsia="ru-RU"/>
        </w:rPr>
        <w:t xml:space="preserve"> 80-е годы</w:t>
      </w:r>
    </w:p>
    <w:p w14:paraId="5D0CCD7A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F33BBAD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Ликвидность национального рынка акций определяется показателем</w:t>
      </w:r>
      <w:r>
        <w:rPr>
          <w:rFonts w:eastAsia="Times New Roman" w:cs="Times New Roman"/>
          <w:bCs/>
          <w:lang w:eastAsia="ru-RU"/>
        </w:rPr>
        <w:t xml:space="preserve"> о</w:t>
      </w:r>
      <w:r w:rsidRPr="00753A1F">
        <w:rPr>
          <w:rFonts w:eastAsia="Times New Roman" w:cs="Times New Roman"/>
          <w:bCs/>
          <w:lang w:eastAsia="ru-RU"/>
        </w:rPr>
        <w:t>тношение оборота торговли за год к капитализации</w:t>
      </w:r>
    </w:p>
    <w:p w14:paraId="47694249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C20B766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Основную координационную роль в реализации решений G20 в области финансовых рынков играет</w:t>
      </w:r>
      <w:r>
        <w:rPr>
          <w:rFonts w:eastAsia="Times New Roman" w:cs="Times New Roman"/>
          <w:bCs/>
          <w:lang w:eastAsia="ru-RU"/>
        </w:rPr>
        <w:t xml:space="preserve"> с</w:t>
      </w:r>
      <w:r w:rsidRPr="00753A1F">
        <w:rPr>
          <w:rFonts w:eastAsia="Times New Roman" w:cs="Times New Roman"/>
          <w:bCs/>
          <w:lang w:eastAsia="ru-RU"/>
        </w:rPr>
        <w:t>овет по финансовой стабильности (FSB)</w:t>
      </w:r>
    </w:p>
    <w:p w14:paraId="7E288577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3951605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Основными результатами международных усилий по укреплению стабильности мировой финансовой системы после кризиса 2007-2009 гг. стало:</w:t>
      </w:r>
    </w:p>
    <w:p w14:paraId="397ABE52" w14:textId="77777777" w:rsidR="001326DB" w:rsidRPr="009C42AB" w:rsidRDefault="001326DB" w:rsidP="00C64A99">
      <w:pPr>
        <w:pStyle w:val="a9"/>
        <w:numPr>
          <w:ilvl w:val="0"/>
          <w:numId w:val="1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Принятие новых нормативов достаточности капитала для банков (Базель 3);</w:t>
      </w:r>
    </w:p>
    <w:p w14:paraId="34E4170C" w14:textId="77777777" w:rsidR="001326DB" w:rsidRPr="009C42AB" w:rsidRDefault="001326DB" w:rsidP="00C64A99">
      <w:pPr>
        <w:pStyle w:val="a9"/>
        <w:numPr>
          <w:ilvl w:val="0"/>
          <w:numId w:val="1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Принятие новой редакции принципов регулирования фондового рынка (IOSCO);</w:t>
      </w:r>
    </w:p>
    <w:p w14:paraId="2D54F73C" w14:textId="77777777" w:rsidR="001326DB" w:rsidRPr="009C42AB" w:rsidRDefault="001326DB" w:rsidP="00C64A99">
      <w:pPr>
        <w:pStyle w:val="a9"/>
        <w:numPr>
          <w:ilvl w:val="0"/>
          <w:numId w:val="1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Принятие Кодекса поведения кредитных рейтинговых агентств (IOSCO);</w:t>
      </w:r>
    </w:p>
    <w:p w14:paraId="2F9D8467" w14:textId="77777777" w:rsidR="001326DB" w:rsidRPr="009C42AB" w:rsidRDefault="001326DB" w:rsidP="00C64A99">
      <w:pPr>
        <w:pStyle w:val="a9"/>
        <w:numPr>
          <w:ilvl w:val="0"/>
          <w:numId w:val="1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Принятие Основных принципов защиты потребителей финансовых услуг (ОЭСР);</w:t>
      </w:r>
    </w:p>
    <w:p w14:paraId="48ED2175" w14:textId="77777777" w:rsidR="001326DB" w:rsidRPr="009C42AB" w:rsidRDefault="001326DB" w:rsidP="00C64A99">
      <w:pPr>
        <w:pStyle w:val="a9"/>
        <w:numPr>
          <w:ilvl w:val="0"/>
          <w:numId w:val="1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Перевод расчетов по стандартным внебиржевым деривативам на централизованный клиринг;</w:t>
      </w:r>
    </w:p>
    <w:p w14:paraId="4C296EA1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C85EA41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 xml:space="preserve">Кульминацией мирового финансового кризиса 2007-2009 гг. считается крах «Леман Бразерз». </w:t>
      </w:r>
      <w:r>
        <w:rPr>
          <w:rFonts w:eastAsia="Times New Roman" w:cs="Times New Roman"/>
          <w:bCs/>
          <w:lang w:eastAsia="ru-RU"/>
        </w:rPr>
        <w:t>Б</w:t>
      </w:r>
      <w:r w:rsidRPr="00753A1F">
        <w:rPr>
          <w:rFonts w:eastAsia="Times New Roman" w:cs="Times New Roman"/>
          <w:bCs/>
          <w:lang w:eastAsia="ru-RU"/>
        </w:rPr>
        <w:t>анкротс</w:t>
      </w:r>
      <w:r>
        <w:rPr>
          <w:rFonts w:eastAsia="Times New Roman" w:cs="Times New Roman"/>
          <w:bCs/>
          <w:lang w:eastAsia="ru-RU"/>
        </w:rPr>
        <w:t>тво этого инвестиционного банка связано с:</w:t>
      </w:r>
    </w:p>
    <w:p w14:paraId="6878C2A9" w14:textId="77777777" w:rsidR="001326DB" w:rsidRPr="009C42AB" w:rsidRDefault="001326DB" w:rsidP="00C64A99">
      <w:pPr>
        <w:pStyle w:val="a9"/>
        <w:numPr>
          <w:ilvl w:val="0"/>
          <w:numId w:val="20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Облигации, обеспеченные пулами закладных на недвижимость (MBS);</w:t>
      </w:r>
    </w:p>
    <w:p w14:paraId="7BD0C1C1" w14:textId="77777777" w:rsidR="001326DB" w:rsidRPr="009C42AB" w:rsidRDefault="001326DB" w:rsidP="00C64A99">
      <w:pPr>
        <w:pStyle w:val="a9"/>
        <w:numPr>
          <w:ilvl w:val="0"/>
          <w:numId w:val="20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C42AB">
        <w:rPr>
          <w:rFonts w:eastAsia="Times New Roman" w:cs="Times New Roman"/>
          <w:bCs/>
          <w:lang w:eastAsia="ru-RU"/>
        </w:rPr>
        <w:t>Кредитно-дефолтные свопы (CDS);</w:t>
      </w:r>
    </w:p>
    <w:p w14:paraId="33231352" w14:textId="77777777" w:rsidR="001326DB" w:rsidRDefault="001326DB" w:rsidP="00C64A99">
      <w:pPr>
        <w:spacing w:after="0" w:line="23" w:lineRule="atLeast"/>
        <w:jc w:val="both"/>
        <w:rPr>
          <w:lang w:val="en-US"/>
        </w:rPr>
      </w:pPr>
    </w:p>
    <w:p w14:paraId="63A8ECBB" w14:textId="7C06C804" w:rsidR="001326DB" w:rsidRPr="009C42AB" w:rsidRDefault="006418A3" w:rsidP="001326DB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Тема 17</w:t>
      </w:r>
      <w:r w:rsidR="001326DB" w:rsidRPr="009C42AB">
        <w:rPr>
          <w:rFonts w:eastAsia="Times New Roman" w:cs="Times New Roman"/>
          <w:b/>
          <w:bCs/>
          <w:sz w:val="24"/>
          <w:szCs w:val="24"/>
          <w:lang w:eastAsia="ru-RU"/>
        </w:rPr>
        <w:t>.2. Основные участники мирового финансового рынка и глобальные финансовые инструменты</w:t>
      </w:r>
    </w:p>
    <w:p w14:paraId="628EA7C2" w14:textId="77777777" w:rsidR="001326DB" w:rsidRPr="00753A1F" w:rsidRDefault="001326DB" w:rsidP="001326DB">
      <w:pPr>
        <w:tabs>
          <w:tab w:val="left" w:pos="360"/>
        </w:tabs>
        <w:spacing w:after="0" w:line="23" w:lineRule="atLeast"/>
        <w:rPr>
          <w:rFonts w:eastAsia="Times New Roman" w:cs="Times New Roman"/>
          <w:bCs/>
          <w:lang w:eastAsia="ru-RU"/>
        </w:rPr>
      </w:pPr>
    </w:p>
    <w:p w14:paraId="15C6B7EA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Euronext – это</w:t>
      </w:r>
      <w:r>
        <w:rPr>
          <w:rFonts w:eastAsia="Times New Roman" w:cs="Times New Roman"/>
          <w:bCs/>
          <w:lang w:eastAsia="ru-RU"/>
        </w:rPr>
        <w:t xml:space="preserve"> п</w:t>
      </w:r>
      <w:r w:rsidRPr="00753A1F">
        <w:rPr>
          <w:rFonts w:eastAsia="Times New Roman" w:cs="Times New Roman"/>
          <w:bCs/>
          <w:lang w:eastAsia="ru-RU"/>
        </w:rPr>
        <w:t>анъевропейская биржа, возникшая в результате слияния бирж Парижа, Брюсселя, Амстердама и Лиссабона</w:t>
      </w:r>
    </w:p>
    <w:p w14:paraId="038A37D8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C456457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Торговля золотом в Лондоне осуществляется н</w:t>
      </w:r>
      <w:r w:rsidRPr="00753A1F">
        <w:rPr>
          <w:rFonts w:eastAsia="Times New Roman" w:cs="Times New Roman"/>
          <w:bCs/>
          <w:lang w:eastAsia="ru-RU"/>
        </w:rPr>
        <w:t>а внебиржевом рынке</w:t>
      </w:r>
    </w:p>
    <w:p w14:paraId="4D27374B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4812257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AIM (Alternative Investment Market</w:t>
      </w:r>
      <w:r>
        <w:rPr>
          <w:rFonts w:eastAsia="Times New Roman" w:cs="Times New Roman"/>
          <w:bCs/>
          <w:lang w:eastAsia="ru-RU"/>
        </w:rPr>
        <w:t>) – п</w:t>
      </w:r>
      <w:r w:rsidRPr="00753A1F">
        <w:rPr>
          <w:rFonts w:eastAsia="Times New Roman" w:cs="Times New Roman"/>
          <w:bCs/>
          <w:lang w:eastAsia="ru-RU"/>
        </w:rPr>
        <w:t>одразделение</w:t>
      </w:r>
      <w:r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>Лондонской фондовой биржи, торгующее акциями компаний малой и средней капитализации</w:t>
      </w:r>
    </w:p>
    <w:p w14:paraId="190F6B9A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F9FC07E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Т</w:t>
      </w:r>
      <w:r w:rsidRPr="00753A1F">
        <w:rPr>
          <w:rFonts w:eastAsia="Times New Roman" w:cs="Times New Roman"/>
          <w:bCs/>
          <w:lang w:eastAsia="ru-RU"/>
        </w:rPr>
        <w:t>орговля европейскими государственными бумагами</w:t>
      </w:r>
      <w:r w:rsidRPr="008C2CFA"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>осуществляется</w:t>
      </w:r>
      <w:r>
        <w:rPr>
          <w:rFonts w:eastAsia="Times New Roman" w:cs="Times New Roman"/>
          <w:bCs/>
          <w:lang w:eastAsia="ru-RU"/>
        </w:rPr>
        <w:t xml:space="preserve"> н</w:t>
      </w:r>
      <w:r w:rsidRPr="00753A1F">
        <w:rPr>
          <w:rFonts w:eastAsia="Times New Roman" w:cs="Times New Roman"/>
          <w:bCs/>
          <w:lang w:eastAsia="ru-RU"/>
        </w:rPr>
        <w:t>а внебиржевой торговой площадке (MTS)</w:t>
      </w:r>
    </w:p>
    <w:p w14:paraId="2EA8A1E7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657E5C6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Euroclear – это</w:t>
      </w:r>
      <w:r>
        <w:rPr>
          <w:rFonts w:eastAsia="Times New Roman" w:cs="Times New Roman"/>
          <w:bCs/>
          <w:lang w:eastAsia="ru-RU"/>
        </w:rPr>
        <w:t xml:space="preserve"> м</w:t>
      </w:r>
      <w:r w:rsidRPr="00753A1F">
        <w:rPr>
          <w:rFonts w:eastAsia="Times New Roman" w:cs="Times New Roman"/>
          <w:bCs/>
          <w:lang w:eastAsia="ru-RU"/>
        </w:rPr>
        <w:t>еждународная депозитарная система, в том числе учитывающая операции с еврооблигациями</w:t>
      </w:r>
    </w:p>
    <w:p w14:paraId="4516A203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0523911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Расчетно-депозитарная(ые) система(ы), обслуживающая(ие) участников рынка еврооблигаций, называе(ю)тся:</w:t>
      </w:r>
    </w:p>
    <w:p w14:paraId="3D63EAD6" w14:textId="77777777" w:rsidR="001326DB" w:rsidRPr="008C2CFA" w:rsidRDefault="001326DB" w:rsidP="00C64A99">
      <w:pPr>
        <w:pStyle w:val="a9"/>
        <w:numPr>
          <w:ilvl w:val="0"/>
          <w:numId w:val="2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8C2CFA">
        <w:rPr>
          <w:rFonts w:eastAsia="Times New Roman" w:cs="Times New Roman"/>
          <w:bCs/>
          <w:lang w:eastAsia="ru-RU"/>
        </w:rPr>
        <w:t>Euroclear;</w:t>
      </w:r>
    </w:p>
    <w:p w14:paraId="3D34ED48" w14:textId="77777777" w:rsidR="001326DB" w:rsidRPr="008C2CFA" w:rsidRDefault="001326DB" w:rsidP="00C64A99">
      <w:pPr>
        <w:pStyle w:val="a9"/>
        <w:numPr>
          <w:ilvl w:val="0"/>
          <w:numId w:val="2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8C2CFA">
        <w:rPr>
          <w:rFonts w:eastAsia="Times New Roman" w:cs="Times New Roman"/>
          <w:bCs/>
          <w:lang w:eastAsia="ru-RU"/>
        </w:rPr>
        <w:t>Clearstream;</w:t>
      </w:r>
    </w:p>
    <w:p w14:paraId="327FBF52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9DB704C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ICMA (ISMA) – это</w:t>
      </w:r>
      <w:r>
        <w:rPr>
          <w:rFonts w:eastAsia="Times New Roman" w:cs="Times New Roman"/>
          <w:bCs/>
          <w:lang w:eastAsia="ru-RU"/>
        </w:rPr>
        <w:t xml:space="preserve"> а</w:t>
      </w:r>
      <w:r w:rsidRPr="00753A1F">
        <w:rPr>
          <w:rFonts w:eastAsia="Times New Roman" w:cs="Times New Roman"/>
          <w:bCs/>
          <w:lang w:eastAsia="ru-RU"/>
        </w:rPr>
        <w:t>ссоциация участников международного рынка капиталов</w:t>
      </w:r>
    </w:p>
    <w:p w14:paraId="2FD9F1F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7234FF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Членами Мировой федерации бирж (WFE) являются (по состоянию на 2016 г.):</w:t>
      </w:r>
    </w:p>
    <w:p w14:paraId="00BE9C88" w14:textId="77777777" w:rsidR="001326DB" w:rsidRPr="00CB257A" w:rsidRDefault="001326DB" w:rsidP="00C64A99">
      <w:pPr>
        <w:pStyle w:val="a9"/>
        <w:numPr>
          <w:ilvl w:val="0"/>
          <w:numId w:val="2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Euronext;</w:t>
      </w:r>
    </w:p>
    <w:p w14:paraId="2B87C7ED" w14:textId="77777777" w:rsidR="001326DB" w:rsidRPr="00CB257A" w:rsidRDefault="001326DB" w:rsidP="00C64A99">
      <w:pPr>
        <w:pStyle w:val="a9"/>
        <w:numPr>
          <w:ilvl w:val="0"/>
          <w:numId w:val="2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Московская биржа;</w:t>
      </w:r>
    </w:p>
    <w:p w14:paraId="130DA39F" w14:textId="77777777" w:rsidR="001326DB" w:rsidRPr="00CB257A" w:rsidRDefault="001326DB" w:rsidP="00C64A99">
      <w:pPr>
        <w:pStyle w:val="a9"/>
        <w:numPr>
          <w:ilvl w:val="0"/>
          <w:numId w:val="2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Казахстанская биржа;</w:t>
      </w:r>
    </w:p>
    <w:p w14:paraId="0D4AC58C" w14:textId="77777777" w:rsidR="001326DB" w:rsidRPr="00CB257A" w:rsidRDefault="001326DB" w:rsidP="00C64A99">
      <w:pPr>
        <w:pStyle w:val="a9"/>
        <w:numPr>
          <w:ilvl w:val="0"/>
          <w:numId w:val="2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NASDAQ.</w:t>
      </w:r>
    </w:p>
    <w:p w14:paraId="271A2690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1462FFA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BOVESPA – это</w:t>
      </w:r>
      <w:r>
        <w:rPr>
          <w:rFonts w:eastAsia="Times New Roman" w:cs="Times New Roman"/>
          <w:bCs/>
          <w:lang w:eastAsia="ru-RU"/>
        </w:rPr>
        <w:t xml:space="preserve"> и</w:t>
      </w:r>
      <w:r w:rsidRPr="00753A1F">
        <w:rPr>
          <w:rFonts w:eastAsia="Times New Roman" w:cs="Times New Roman"/>
          <w:bCs/>
          <w:lang w:eastAsia="ru-RU"/>
        </w:rPr>
        <w:t>ндекс бразильского фондового рынка</w:t>
      </w:r>
    </w:p>
    <w:p w14:paraId="6CAB5ADA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4C95B44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KOSPI – это</w:t>
      </w:r>
      <w:r>
        <w:rPr>
          <w:rFonts w:eastAsia="Times New Roman" w:cs="Times New Roman"/>
          <w:bCs/>
          <w:lang w:eastAsia="ru-RU"/>
        </w:rPr>
        <w:t xml:space="preserve"> в</w:t>
      </w:r>
      <w:r w:rsidRPr="00753A1F">
        <w:rPr>
          <w:rFonts w:eastAsia="Times New Roman" w:cs="Times New Roman"/>
          <w:bCs/>
          <w:lang w:eastAsia="ru-RU"/>
        </w:rPr>
        <w:t>звешенный по капитализации индекс корейских компаний</w:t>
      </w:r>
    </w:p>
    <w:p w14:paraId="3BBEF786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82AB5E2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EuroStoxx 50</w:t>
      </w:r>
      <w:r>
        <w:rPr>
          <w:rFonts w:eastAsia="Times New Roman" w:cs="Times New Roman"/>
          <w:bCs/>
          <w:lang w:eastAsia="ru-RU"/>
        </w:rPr>
        <w:t xml:space="preserve"> - и</w:t>
      </w:r>
      <w:r w:rsidRPr="00753A1F">
        <w:rPr>
          <w:rFonts w:eastAsia="Times New Roman" w:cs="Times New Roman"/>
          <w:bCs/>
          <w:lang w:eastAsia="ru-RU"/>
        </w:rPr>
        <w:t>ндекс, рассчитываемый по 50 крупнейшим компаниям стран, входящих в зону евро</w:t>
      </w:r>
    </w:p>
    <w:p w14:paraId="084124A8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628072A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И</w:t>
      </w:r>
      <w:r w:rsidRPr="00753A1F">
        <w:rPr>
          <w:rFonts w:eastAsia="Times New Roman" w:cs="Times New Roman"/>
          <w:bCs/>
          <w:lang w:eastAsia="ru-RU"/>
        </w:rPr>
        <w:t>ндекс MSCIEM (Мorgan Stanley Capital International Emerging Markets</w:t>
      </w:r>
      <w:r>
        <w:rPr>
          <w:rFonts w:eastAsia="Times New Roman" w:cs="Times New Roman"/>
          <w:bCs/>
          <w:lang w:eastAsia="ru-RU"/>
        </w:rPr>
        <w:t xml:space="preserve"> с</w:t>
      </w:r>
      <w:r w:rsidRPr="00753A1F">
        <w:rPr>
          <w:rFonts w:eastAsia="Times New Roman" w:cs="Times New Roman"/>
          <w:bCs/>
          <w:lang w:eastAsia="ru-RU"/>
        </w:rPr>
        <w:t>водный индекс акций развивающихся стран</w:t>
      </w:r>
    </w:p>
    <w:p w14:paraId="52E0640E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56B4B0D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В</w:t>
      </w:r>
      <w:r w:rsidRPr="00753A1F">
        <w:rPr>
          <w:rFonts w:eastAsia="Times New Roman" w:cs="Times New Roman"/>
          <w:bCs/>
          <w:lang w:eastAsia="ru-RU"/>
        </w:rPr>
        <w:t xml:space="preserve"> Индексе Доу-Джонса (DJIA), если у одной из компаний выборки произошел сплит</w:t>
      </w:r>
      <w:r>
        <w:rPr>
          <w:rFonts w:eastAsia="Times New Roman" w:cs="Times New Roman"/>
          <w:bCs/>
          <w:lang w:eastAsia="ru-RU"/>
        </w:rPr>
        <w:t xml:space="preserve"> д</w:t>
      </w:r>
      <w:r w:rsidRPr="00753A1F">
        <w:rPr>
          <w:rFonts w:eastAsia="Times New Roman" w:cs="Times New Roman"/>
          <w:bCs/>
          <w:lang w:eastAsia="ru-RU"/>
        </w:rPr>
        <w:t>елитель уменьшится</w:t>
      </w:r>
    </w:p>
    <w:p w14:paraId="002ADCA9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0D38C3F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И</w:t>
      </w:r>
      <w:r w:rsidRPr="00753A1F">
        <w:rPr>
          <w:rFonts w:eastAsia="Times New Roman" w:cs="Times New Roman"/>
          <w:bCs/>
          <w:lang w:eastAsia="ru-RU"/>
        </w:rPr>
        <w:t>ндексы акций азиатских стран.</w:t>
      </w:r>
    </w:p>
    <w:p w14:paraId="3EB818F0" w14:textId="77777777" w:rsidR="001326DB" w:rsidRPr="00CB257A" w:rsidRDefault="001326DB" w:rsidP="00C64A99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Hang Seng;</w:t>
      </w:r>
    </w:p>
    <w:p w14:paraId="37A1970A" w14:textId="77777777" w:rsidR="001326DB" w:rsidRPr="00CB257A" w:rsidRDefault="001326DB" w:rsidP="00C64A99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KOSPI;</w:t>
      </w:r>
    </w:p>
    <w:p w14:paraId="4D2C2B08" w14:textId="77777777" w:rsidR="001326DB" w:rsidRPr="00CB257A" w:rsidRDefault="001326DB" w:rsidP="00C64A99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TOPIX.</w:t>
      </w:r>
    </w:p>
    <w:p w14:paraId="327BA7ED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E8AB604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Наиболее репрезентативным индексом фондового рынка США считается</w:t>
      </w:r>
      <w:r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>S&amp;P 500</w:t>
      </w:r>
    </w:p>
    <w:p w14:paraId="2A75C1FF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2A027EF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DAX 30 – это</w:t>
      </w:r>
      <w:r>
        <w:rPr>
          <w:rFonts w:eastAsia="Times New Roman" w:cs="Times New Roman"/>
          <w:bCs/>
          <w:lang w:eastAsia="ru-RU"/>
        </w:rPr>
        <w:t xml:space="preserve"> и</w:t>
      </w:r>
      <w:r w:rsidRPr="00753A1F">
        <w:rPr>
          <w:rFonts w:eastAsia="Times New Roman" w:cs="Times New Roman"/>
          <w:bCs/>
          <w:lang w:eastAsia="ru-RU"/>
        </w:rPr>
        <w:t>ндекс немецкого фондового рынка</w:t>
      </w:r>
    </w:p>
    <w:p w14:paraId="5528BC90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6D6B7C2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</w:t>
      </w:r>
      <w:r w:rsidRPr="00753A1F">
        <w:rPr>
          <w:rFonts w:eastAsia="Times New Roman" w:cs="Times New Roman"/>
          <w:bCs/>
          <w:lang w:eastAsia="ru-RU"/>
        </w:rPr>
        <w:t>ринято относить к институциональным инвесторам</w:t>
      </w:r>
      <w:r>
        <w:rPr>
          <w:rFonts w:eastAsia="Times New Roman" w:cs="Times New Roman"/>
          <w:bCs/>
          <w:lang w:eastAsia="ru-RU"/>
        </w:rPr>
        <w:t xml:space="preserve"> с</w:t>
      </w:r>
      <w:r w:rsidRPr="00753A1F">
        <w:rPr>
          <w:rFonts w:eastAsia="Times New Roman" w:cs="Times New Roman"/>
          <w:bCs/>
          <w:lang w:eastAsia="ru-RU"/>
        </w:rPr>
        <w:t>траховые компании, пенсионные фонды, инвестиционные фонды, суверенные фонды</w:t>
      </w:r>
    </w:p>
    <w:p w14:paraId="465456FB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0D94C4F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B513BFB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lastRenderedPageBreak/>
        <w:t>Фонды</w:t>
      </w:r>
      <w:r w:rsidRPr="00753A1F">
        <w:rPr>
          <w:rFonts w:eastAsia="Times New Roman" w:cs="Times New Roman"/>
          <w:bCs/>
          <w:lang w:eastAsia="ru-RU"/>
        </w:rPr>
        <w:t xml:space="preserve"> UCITS:</w:t>
      </w:r>
    </w:p>
    <w:p w14:paraId="0676D864" w14:textId="77777777" w:rsidR="001326DB" w:rsidRPr="00CB257A" w:rsidRDefault="001326DB" w:rsidP="00C64A99">
      <w:pPr>
        <w:pStyle w:val="a9"/>
        <w:numPr>
          <w:ilvl w:val="0"/>
          <w:numId w:val="3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Существуют в странах ЕС;</w:t>
      </w:r>
    </w:p>
    <w:p w14:paraId="18581D64" w14:textId="77777777" w:rsidR="001326DB" w:rsidRPr="00CB257A" w:rsidRDefault="001326DB" w:rsidP="00C64A99">
      <w:pPr>
        <w:pStyle w:val="a9"/>
        <w:numPr>
          <w:ilvl w:val="0"/>
          <w:numId w:val="3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Существуют в форме только открытых фондов;</w:t>
      </w:r>
    </w:p>
    <w:p w14:paraId="076C4D7D" w14:textId="77777777" w:rsidR="001326DB" w:rsidRPr="00CB257A" w:rsidRDefault="001326DB" w:rsidP="00C64A99">
      <w:pPr>
        <w:pStyle w:val="a9"/>
        <w:numPr>
          <w:ilvl w:val="0"/>
          <w:numId w:val="3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Имеют право инвестировать средства только в обращающиеся (ликвидные) ценные бумаги.</w:t>
      </w:r>
    </w:p>
    <w:p w14:paraId="60E564D0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B59667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В США взаимные фонды (mutual funds) могут создаваться в форме</w:t>
      </w:r>
      <w:r>
        <w:rPr>
          <w:rFonts w:eastAsia="Times New Roman" w:cs="Times New Roman"/>
          <w:bCs/>
          <w:lang w:eastAsia="ru-RU"/>
        </w:rPr>
        <w:t xml:space="preserve"> к</w:t>
      </w:r>
      <w:r w:rsidRPr="00753A1F">
        <w:rPr>
          <w:rFonts w:eastAsia="Times New Roman" w:cs="Times New Roman"/>
          <w:bCs/>
          <w:lang w:eastAsia="ru-RU"/>
        </w:rPr>
        <w:t>орпораций (акционерных обществ)</w:t>
      </w:r>
    </w:p>
    <w:p w14:paraId="0FBBBF97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0B1C2B9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</w:t>
      </w:r>
      <w:r w:rsidRPr="00753A1F">
        <w:rPr>
          <w:rFonts w:eastAsia="Times New Roman" w:cs="Times New Roman"/>
          <w:bCs/>
          <w:lang w:eastAsia="ru-RU"/>
        </w:rPr>
        <w:t xml:space="preserve">реимущественно накопительная </w:t>
      </w:r>
      <w:r>
        <w:rPr>
          <w:rFonts w:eastAsia="Times New Roman" w:cs="Times New Roman"/>
          <w:bCs/>
          <w:lang w:eastAsia="ru-RU"/>
        </w:rPr>
        <w:t>система пенсионного обеспечения действует в:</w:t>
      </w:r>
    </w:p>
    <w:p w14:paraId="2E87F5E5" w14:textId="77777777" w:rsidR="001326DB" w:rsidRPr="00CB257A" w:rsidRDefault="001326DB" w:rsidP="00C64A99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США;</w:t>
      </w:r>
    </w:p>
    <w:p w14:paraId="30F11EFF" w14:textId="77777777" w:rsidR="001326DB" w:rsidRPr="00CB257A" w:rsidRDefault="001326DB" w:rsidP="00C64A99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Нидерланды;</w:t>
      </w:r>
    </w:p>
    <w:p w14:paraId="2D3ED715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ECE0E2E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Соотношение между активами институциональных инвесторов и ВВП составляет</w:t>
      </w:r>
      <w:r>
        <w:rPr>
          <w:rFonts w:eastAsia="Times New Roman" w:cs="Times New Roman"/>
          <w:bCs/>
          <w:lang w:eastAsia="ru-RU"/>
        </w:rPr>
        <w:t xml:space="preserve"> в США и Великобритании </w:t>
      </w:r>
      <w:r w:rsidRPr="00753A1F">
        <w:rPr>
          <w:rFonts w:eastAsia="Times New Roman" w:cs="Times New Roman"/>
          <w:bCs/>
          <w:lang w:eastAsia="ru-RU"/>
        </w:rPr>
        <w:t>более 150%</w:t>
      </w:r>
    </w:p>
    <w:p w14:paraId="2202D47A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19E1706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Хедж-фонд:</w:t>
      </w:r>
    </w:p>
    <w:p w14:paraId="08E61EB2" w14:textId="77777777" w:rsidR="001326DB" w:rsidRPr="00CB257A" w:rsidRDefault="001326DB" w:rsidP="00C64A99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Организация с ограниченным числом членов;</w:t>
      </w:r>
    </w:p>
    <w:p w14:paraId="7F343A26" w14:textId="77777777" w:rsidR="001326DB" w:rsidRPr="00CB257A" w:rsidRDefault="001326DB" w:rsidP="00C64A99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CB257A">
        <w:rPr>
          <w:rFonts w:eastAsia="Times New Roman" w:cs="Times New Roman"/>
          <w:bCs/>
          <w:lang w:eastAsia="ru-RU"/>
        </w:rPr>
        <w:t>Проводящая агрессивную инвестиционную политику;</w:t>
      </w:r>
    </w:p>
    <w:p w14:paraId="11A7B972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1E8B7C9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Хедж-фонды (Hedge funds), как правило, подлежат менее жесткому</w:t>
      </w:r>
      <w:r>
        <w:rPr>
          <w:rFonts w:eastAsia="Times New Roman" w:cs="Times New Roman"/>
          <w:bCs/>
          <w:lang w:eastAsia="ru-RU"/>
        </w:rPr>
        <w:t xml:space="preserve"> государственному регулированию</w:t>
      </w:r>
    </w:p>
    <w:p w14:paraId="67DF7C79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1C7D5EB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С</w:t>
      </w:r>
      <w:r w:rsidRPr="00753A1F">
        <w:rPr>
          <w:rFonts w:eastAsia="Times New Roman" w:cs="Times New Roman"/>
          <w:bCs/>
          <w:lang w:eastAsia="ru-RU"/>
        </w:rPr>
        <w:t>траны с наивысшей долей страховых компаний и пенсионных фондов в структуре акционерного капитала.</w:t>
      </w:r>
    </w:p>
    <w:p w14:paraId="2A666A7F" w14:textId="77777777" w:rsidR="001326DB" w:rsidRPr="00B66F88" w:rsidRDefault="001326DB" w:rsidP="00C64A99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B66F88">
        <w:rPr>
          <w:rFonts w:eastAsia="Times New Roman" w:cs="Times New Roman"/>
          <w:bCs/>
          <w:lang w:eastAsia="ru-RU"/>
        </w:rPr>
        <w:t>США;</w:t>
      </w:r>
    </w:p>
    <w:p w14:paraId="3610409C" w14:textId="77777777" w:rsidR="001326DB" w:rsidRPr="00B66F88" w:rsidRDefault="001326DB" w:rsidP="00C64A99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B66F88">
        <w:rPr>
          <w:rFonts w:eastAsia="Times New Roman" w:cs="Times New Roman"/>
          <w:bCs/>
          <w:lang w:eastAsia="ru-RU"/>
        </w:rPr>
        <w:t>Великобритания.</w:t>
      </w:r>
    </w:p>
    <w:p w14:paraId="288B7C89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A3561C6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К</w:t>
      </w:r>
      <w:r w:rsidRPr="00753A1F">
        <w:rPr>
          <w:rFonts w:eastAsia="Times New Roman" w:cs="Times New Roman"/>
          <w:bCs/>
          <w:lang w:eastAsia="ru-RU"/>
        </w:rPr>
        <w:t>рупнейшие участники рынка коллективных инвестиций в США</w:t>
      </w:r>
      <w:r>
        <w:rPr>
          <w:rFonts w:eastAsia="Times New Roman" w:cs="Times New Roman"/>
          <w:bCs/>
          <w:lang w:eastAsia="ru-RU"/>
        </w:rPr>
        <w:t xml:space="preserve"> в</w:t>
      </w:r>
      <w:r w:rsidRPr="00753A1F">
        <w:rPr>
          <w:rFonts w:eastAsia="Times New Roman" w:cs="Times New Roman"/>
          <w:bCs/>
          <w:lang w:eastAsia="ru-RU"/>
        </w:rPr>
        <w:t>заимные фонды (mutual funds)</w:t>
      </w:r>
    </w:p>
    <w:p w14:paraId="3CF49FC7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F47A2C1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О</w:t>
      </w:r>
      <w:r w:rsidRPr="00753A1F">
        <w:rPr>
          <w:rFonts w:eastAsia="Times New Roman" w:cs="Times New Roman"/>
          <w:bCs/>
          <w:lang w:eastAsia="ru-RU"/>
        </w:rPr>
        <w:t>сновные рейтинговые агентства.</w:t>
      </w:r>
    </w:p>
    <w:p w14:paraId="7A3BB335" w14:textId="77777777" w:rsidR="001326DB" w:rsidRPr="004E05D0" w:rsidRDefault="001326DB" w:rsidP="00C64A99">
      <w:pPr>
        <w:pStyle w:val="a9"/>
        <w:numPr>
          <w:ilvl w:val="0"/>
          <w:numId w:val="3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E05D0">
        <w:rPr>
          <w:rFonts w:eastAsia="Times New Roman" w:cs="Times New Roman"/>
          <w:bCs/>
          <w:lang w:eastAsia="ru-RU"/>
        </w:rPr>
        <w:t>Standard &amp; Poors;</w:t>
      </w:r>
    </w:p>
    <w:p w14:paraId="5F56E413" w14:textId="77777777" w:rsidR="001326DB" w:rsidRPr="004E05D0" w:rsidRDefault="001326DB" w:rsidP="00C64A99">
      <w:pPr>
        <w:pStyle w:val="a9"/>
        <w:numPr>
          <w:ilvl w:val="0"/>
          <w:numId w:val="3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E05D0">
        <w:rPr>
          <w:rFonts w:eastAsia="Times New Roman" w:cs="Times New Roman"/>
          <w:bCs/>
          <w:lang w:eastAsia="ru-RU"/>
        </w:rPr>
        <w:t>Moody`s;</w:t>
      </w:r>
    </w:p>
    <w:p w14:paraId="2378956E" w14:textId="77777777" w:rsidR="001326DB" w:rsidRPr="004E05D0" w:rsidRDefault="001326DB" w:rsidP="00C64A99">
      <w:pPr>
        <w:pStyle w:val="a9"/>
        <w:numPr>
          <w:ilvl w:val="0"/>
          <w:numId w:val="3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E05D0">
        <w:rPr>
          <w:rFonts w:eastAsia="Times New Roman" w:cs="Times New Roman"/>
          <w:bCs/>
          <w:lang w:eastAsia="ru-RU"/>
        </w:rPr>
        <w:t>Fitch.</w:t>
      </w:r>
    </w:p>
    <w:p w14:paraId="64095F58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4ABAF13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 xml:space="preserve">Рейтинг облигаций позволяет инвестору оценить уровень </w:t>
      </w:r>
      <w:r>
        <w:rPr>
          <w:rFonts w:eastAsia="Times New Roman" w:cs="Times New Roman"/>
          <w:bCs/>
          <w:lang w:eastAsia="ru-RU"/>
        </w:rPr>
        <w:t>к</w:t>
      </w:r>
      <w:r w:rsidRPr="00753A1F">
        <w:rPr>
          <w:rFonts w:eastAsia="Times New Roman" w:cs="Times New Roman"/>
          <w:bCs/>
          <w:lang w:eastAsia="ru-RU"/>
        </w:rPr>
        <w:t>редитного риска:</w:t>
      </w:r>
    </w:p>
    <w:p w14:paraId="396841FF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FB8A229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«</w:t>
      </w:r>
      <w:r>
        <w:rPr>
          <w:rFonts w:eastAsia="Times New Roman" w:cs="Times New Roman"/>
          <w:bCs/>
          <w:lang w:eastAsia="ru-RU"/>
        </w:rPr>
        <w:t>С</w:t>
      </w:r>
      <w:r w:rsidRPr="00753A1F">
        <w:rPr>
          <w:rFonts w:eastAsia="Times New Roman" w:cs="Times New Roman"/>
          <w:bCs/>
          <w:lang w:eastAsia="ru-RU"/>
        </w:rPr>
        <w:t>тупень» в системе рейтинга долгосрочных облигаций S&amp;P и Moody`s:</w:t>
      </w:r>
    </w:p>
    <w:p w14:paraId="1931E686" w14:textId="77777777" w:rsidR="001326DB" w:rsidRPr="004E05D0" w:rsidRDefault="001326DB" w:rsidP="00C64A99">
      <w:pPr>
        <w:pStyle w:val="a9"/>
        <w:numPr>
          <w:ilvl w:val="0"/>
          <w:numId w:val="38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E05D0">
        <w:rPr>
          <w:rFonts w:eastAsia="Times New Roman" w:cs="Times New Roman"/>
          <w:bCs/>
          <w:lang w:eastAsia="ru-RU"/>
        </w:rPr>
        <w:t>S&amp;P   +   -;</w:t>
      </w:r>
    </w:p>
    <w:p w14:paraId="2A655E40" w14:textId="77777777" w:rsidR="001326DB" w:rsidRPr="004E05D0" w:rsidRDefault="001326DB" w:rsidP="00C64A99">
      <w:pPr>
        <w:pStyle w:val="a9"/>
        <w:numPr>
          <w:ilvl w:val="0"/>
          <w:numId w:val="38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E05D0">
        <w:rPr>
          <w:rFonts w:eastAsia="Times New Roman" w:cs="Times New Roman"/>
          <w:bCs/>
          <w:lang w:eastAsia="ru-RU"/>
        </w:rPr>
        <w:t>Moody`s 1 2 3;</w:t>
      </w:r>
    </w:p>
    <w:p w14:paraId="0DDD803D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58D667A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Понижение рейтинга облигаций рейтинговым агентством при прочих равных условиях ведет к:</w:t>
      </w:r>
      <w:r>
        <w:rPr>
          <w:rFonts w:eastAsia="Times New Roman" w:cs="Times New Roman"/>
          <w:bCs/>
          <w:lang w:eastAsia="ru-RU"/>
        </w:rPr>
        <w:t xml:space="preserve"> п</w:t>
      </w:r>
      <w:r w:rsidRPr="00753A1F">
        <w:rPr>
          <w:rFonts w:eastAsia="Times New Roman" w:cs="Times New Roman"/>
          <w:bCs/>
          <w:lang w:eastAsia="ru-RU"/>
        </w:rPr>
        <w:t>овышению доходности облигаций</w:t>
      </w:r>
    </w:p>
    <w:p w14:paraId="1CA10048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7949934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Повышение рейтинга облигаций рейтинговым агентством при прочих равных условиях ведет к</w:t>
      </w:r>
      <w:r>
        <w:rPr>
          <w:rFonts w:eastAsia="Times New Roman" w:cs="Times New Roman"/>
          <w:bCs/>
          <w:lang w:eastAsia="ru-RU"/>
        </w:rPr>
        <w:t xml:space="preserve"> с</w:t>
      </w:r>
      <w:r w:rsidRPr="00753A1F">
        <w:rPr>
          <w:rFonts w:eastAsia="Times New Roman" w:cs="Times New Roman"/>
          <w:bCs/>
          <w:lang w:eastAsia="ru-RU"/>
        </w:rPr>
        <w:t>нижению доходности облигаций</w:t>
      </w:r>
    </w:p>
    <w:p w14:paraId="4AC651EE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54202D6" w14:textId="7BFE83B8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М</w:t>
      </w:r>
      <w:r w:rsidRPr="00753A1F">
        <w:rPr>
          <w:rFonts w:eastAsia="Times New Roman" w:cs="Times New Roman"/>
          <w:bCs/>
          <w:lang w:eastAsia="ru-RU"/>
        </w:rPr>
        <w:t xml:space="preserve">инимальный и максимальный долгосрочный суверенный рейтинг Российской Федерации  в иностранной валюте по шкале </w:t>
      </w:r>
      <w:r w:rsidR="00AF791A">
        <w:rPr>
          <w:rFonts w:eastAsia="Times New Roman" w:cs="Times New Roman"/>
          <w:bCs/>
          <w:lang w:eastAsia="ru-RU"/>
        </w:rPr>
        <w:t>компании S&amp;P за период 1996-2019</w:t>
      </w:r>
      <w:r w:rsidRPr="00753A1F">
        <w:rPr>
          <w:rFonts w:eastAsia="Times New Roman" w:cs="Times New Roman"/>
          <w:bCs/>
          <w:lang w:eastAsia="ru-RU"/>
        </w:rPr>
        <w:t xml:space="preserve"> гг.</w:t>
      </w:r>
    </w:p>
    <w:p w14:paraId="40738A62" w14:textId="77777777" w:rsidR="001326DB" w:rsidRPr="004E05D0" w:rsidRDefault="001326DB" w:rsidP="00C64A99">
      <w:pPr>
        <w:pStyle w:val="a9"/>
        <w:numPr>
          <w:ilvl w:val="0"/>
          <w:numId w:val="3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E05D0">
        <w:rPr>
          <w:rFonts w:eastAsia="Times New Roman" w:cs="Times New Roman"/>
          <w:bCs/>
          <w:lang w:eastAsia="ru-RU"/>
        </w:rPr>
        <w:t>ВВВ +;</w:t>
      </w:r>
    </w:p>
    <w:p w14:paraId="2B90A5BF" w14:textId="77777777" w:rsidR="001326DB" w:rsidRPr="004E05D0" w:rsidRDefault="001326DB" w:rsidP="00C64A99">
      <w:pPr>
        <w:pStyle w:val="a9"/>
        <w:numPr>
          <w:ilvl w:val="0"/>
          <w:numId w:val="3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E05D0">
        <w:rPr>
          <w:rFonts w:eastAsia="Times New Roman" w:cs="Times New Roman"/>
          <w:bCs/>
          <w:lang w:eastAsia="ru-RU"/>
        </w:rPr>
        <w:t>CCC-.</w:t>
      </w:r>
    </w:p>
    <w:p w14:paraId="0BCB8A8C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A8EC686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В развитых странах:</w:t>
      </w:r>
    </w:p>
    <w:p w14:paraId="7262B5DA" w14:textId="77777777" w:rsidR="001326DB" w:rsidRPr="004E05D0" w:rsidRDefault="001326DB" w:rsidP="00C64A99">
      <w:pPr>
        <w:pStyle w:val="a9"/>
        <w:numPr>
          <w:ilvl w:val="0"/>
          <w:numId w:val="4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E05D0">
        <w:rPr>
          <w:rFonts w:eastAsia="Times New Roman" w:cs="Times New Roman"/>
          <w:bCs/>
          <w:lang w:eastAsia="ru-RU"/>
        </w:rPr>
        <w:t>Рынок акций – преимущественно биржевой;</w:t>
      </w:r>
    </w:p>
    <w:p w14:paraId="4FE76EB8" w14:textId="77777777" w:rsidR="001326DB" w:rsidRPr="004E05D0" w:rsidRDefault="001326DB" w:rsidP="00C64A99">
      <w:pPr>
        <w:pStyle w:val="a9"/>
        <w:numPr>
          <w:ilvl w:val="0"/>
          <w:numId w:val="4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E05D0">
        <w:rPr>
          <w:rFonts w:eastAsia="Times New Roman" w:cs="Times New Roman"/>
          <w:bCs/>
          <w:lang w:eastAsia="ru-RU"/>
        </w:rPr>
        <w:t>Рынок облигаций – смешанный (зависит от конкретной страны).</w:t>
      </w:r>
    </w:p>
    <w:p w14:paraId="7C8F72DD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636895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lastRenderedPageBreak/>
        <w:t>На долю США приходится глобальных финансовых небанковских активов примерно (2000-е годы</w:t>
      </w:r>
      <w:r>
        <w:rPr>
          <w:rFonts w:eastAsia="Times New Roman" w:cs="Times New Roman"/>
          <w:bCs/>
          <w:lang w:eastAsia="ru-RU"/>
        </w:rPr>
        <w:t>)</w:t>
      </w:r>
      <w:r w:rsidRPr="00753A1F">
        <w:rPr>
          <w:rFonts w:eastAsia="Times New Roman" w:cs="Times New Roman"/>
          <w:bCs/>
          <w:lang w:eastAsia="ru-RU"/>
        </w:rPr>
        <w:t xml:space="preserve"> </w:t>
      </w:r>
      <w:r>
        <w:rPr>
          <w:rFonts w:eastAsia="Times New Roman" w:cs="Times New Roman"/>
          <w:bCs/>
          <w:lang w:eastAsia="ru-RU"/>
        </w:rPr>
        <w:t xml:space="preserve">- </w:t>
      </w:r>
      <w:r w:rsidRPr="00753A1F">
        <w:rPr>
          <w:rFonts w:eastAsia="Times New Roman" w:cs="Times New Roman"/>
          <w:bCs/>
          <w:lang w:eastAsia="ru-RU"/>
        </w:rPr>
        <w:t>30-50%</w:t>
      </w:r>
    </w:p>
    <w:p w14:paraId="153E93D0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CB94C8F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Согласно статистике Банка международных расчетов, основными эмитентами облигаций в мире являются</w:t>
      </w:r>
      <w:r>
        <w:rPr>
          <w:rFonts w:eastAsia="Times New Roman" w:cs="Times New Roman"/>
          <w:bCs/>
          <w:lang w:eastAsia="ru-RU"/>
        </w:rPr>
        <w:t xml:space="preserve"> г</w:t>
      </w:r>
      <w:r w:rsidRPr="00753A1F">
        <w:rPr>
          <w:rFonts w:eastAsia="Times New Roman" w:cs="Times New Roman"/>
          <w:bCs/>
          <w:lang w:eastAsia="ru-RU"/>
        </w:rPr>
        <w:t>осударство и государственные организации</w:t>
      </w:r>
    </w:p>
    <w:p w14:paraId="0BBAD40F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965E937" w14:textId="1E5F6E34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 xml:space="preserve">Среди развитых стран самый большой объем выпущенных государственных облигаций (государственного долга) по отношению к ВВП </w:t>
      </w:r>
      <w:r w:rsidR="00AF791A">
        <w:rPr>
          <w:rFonts w:eastAsia="Times New Roman" w:cs="Times New Roman"/>
          <w:bCs/>
          <w:lang w:eastAsia="ru-RU"/>
        </w:rPr>
        <w:t xml:space="preserve">в </w:t>
      </w:r>
      <w:r w:rsidR="00AF791A">
        <w:rPr>
          <w:rFonts w:eastAsia="Times New Roman" w:cs="Times New Roman"/>
          <w:bCs/>
          <w:lang w:val="en-US" w:eastAsia="ru-RU"/>
        </w:rPr>
        <w:t>XXI</w:t>
      </w:r>
      <w:r w:rsidR="00AF791A" w:rsidRPr="00C64A99">
        <w:rPr>
          <w:rFonts w:eastAsia="Times New Roman" w:cs="Times New Roman"/>
          <w:bCs/>
          <w:lang w:eastAsia="ru-RU"/>
        </w:rPr>
        <w:t xml:space="preserve"> </w:t>
      </w:r>
      <w:r w:rsidR="00AF791A">
        <w:rPr>
          <w:rFonts w:eastAsia="Times New Roman" w:cs="Times New Roman"/>
          <w:bCs/>
          <w:lang w:eastAsia="ru-RU"/>
        </w:rPr>
        <w:t>веке</w:t>
      </w:r>
      <w:r w:rsidRPr="00753A1F">
        <w:rPr>
          <w:rFonts w:eastAsia="Times New Roman" w:cs="Times New Roman"/>
          <w:bCs/>
          <w:lang w:eastAsia="ru-RU"/>
        </w:rPr>
        <w:t xml:space="preserve"> у</w:t>
      </w:r>
      <w:r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>Японии</w:t>
      </w:r>
    </w:p>
    <w:p w14:paraId="75B0AB6F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5ADB3F8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С</w:t>
      </w:r>
      <w:r w:rsidRPr="00753A1F">
        <w:rPr>
          <w:rFonts w:eastAsia="Times New Roman" w:cs="Times New Roman"/>
          <w:bCs/>
          <w:lang w:eastAsia="ru-RU"/>
        </w:rPr>
        <w:t>реднее (сбалансированное) примерное значение показателя P/E развитых стран в 2000-е годы</w:t>
      </w:r>
      <w:r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>15-20</w:t>
      </w:r>
    </w:p>
    <w:p w14:paraId="43DDE146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2180C67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Среди внебиржевых финансовых инструментов самый большой объем по открытым позициям приходится на</w:t>
      </w:r>
      <w:r>
        <w:rPr>
          <w:rFonts w:eastAsia="Times New Roman" w:cs="Times New Roman"/>
          <w:bCs/>
          <w:lang w:eastAsia="ru-RU"/>
        </w:rPr>
        <w:t xml:space="preserve"> п</w:t>
      </w:r>
      <w:r w:rsidRPr="00753A1F">
        <w:rPr>
          <w:rFonts w:eastAsia="Times New Roman" w:cs="Times New Roman"/>
          <w:bCs/>
          <w:lang w:eastAsia="ru-RU"/>
        </w:rPr>
        <w:t>роцентные свопы</w:t>
      </w:r>
    </w:p>
    <w:p w14:paraId="5FA09A51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F4CF988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Кредитно-дефолтные свопы появились</w:t>
      </w:r>
      <w:r>
        <w:rPr>
          <w:rFonts w:eastAsia="Times New Roman" w:cs="Times New Roman"/>
          <w:bCs/>
          <w:lang w:eastAsia="ru-RU"/>
        </w:rPr>
        <w:t xml:space="preserve"> в</w:t>
      </w:r>
      <w:r w:rsidRPr="00753A1F">
        <w:rPr>
          <w:rFonts w:eastAsia="Times New Roman" w:cs="Times New Roman"/>
          <w:bCs/>
          <w:lang w:eastAsia="ru-RU"/>
        </w:rPr>
        <w:t xml:space="preserve"> 90-е годы</w:t>
      </w:r>
    </w:p>
    <w:p w14:paraId="370DA3A8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14C484A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Б</w:t>
      </w:r>
      <w:r w:rsidRPr="00753A1F">
        <w:rPr>
          <w:rFonts w:eastAsia="Times New Roman" w:cs="Times New Roman"/>
          <w:bCs/>
          <w:lang w:eastAsia="ru-RU"/>
        </w:rPr>
        <w:t>умаг</w:t>
      </w:r>
      <w:r>
        <w:rPr>
          <w:rFonts w:eastAsia="Times New Roman" w:cs="Times New Roman"/>
          <w:bCs/>
          <w:lang w:eastAsia="ru-RU"/>
        </w:rPr>
        <w:t>и, которые</w:t>
      </w:r>
      <w:r w:rsidRPr="00753A1F">
        <w:rPr>
          <w:rFonts w:eastAsia="Times New Roman" w:cs="Times New Roman"/>
          <w:bCs/>
          <w:lang w:eastAsia="ru-RU"/>
        </w:rPr>
        <w:t xml:space="preserve"> появились </w:t>
      </w:r>
      <w:r>
        <w:rPr>
          <w:rFonts w:eastAsia="Times New Roman" w:cs="Times New Roman"/>
          <w:bCs/>
          <w:lang w:eastAsia="ru-RU"/>
        </w:rPr>
        <w:t>в порядке секьюритизации долгов:</w:t>
      </w:r>
    </w:p>
    <w:p w14:paraId="067DF3B6" w14:textId="77777777" w:rsidR="001326DB" w:rsidRPr="004E05D0" w:rsidRDefault="001326DB" w:rsidP="00C64A99">
      <w:pPr>
        <w:pStyle w:val="a9"/>
        <w:numPr>
          <w:ilvl w:val="0"/>
          <w:numId w:val="42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E05D0">
        <w:rPr>
          <w:rFonts w:eastAsia="Times New Roman" w:cs="Times New Roman"/>
          <w:bCs/>
          <w:lang w:eastAsia="ru-RU"/>
        </w:rPr>
        <w:t>ОВГВЗ;</w:t>
      </w:r>
    </w:p>
    <w:p w14:paraId="28FB42C5" w14:textId="77777777" w:rsidR="001326DB" w:rsidRPr="004E05D0" w:rsidRDefault="001326DB" w:rsidP="00C64A99">
      <w:pPr>
        <w:pStyle w:val="a9"/>
        <w:numPr>
          <w:ilvl w:val="0"/>
          <w:numId w:val="42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E05D0">
        <w:rPr>
          <w:rFonts w:eastAsia="Times New Roman" w:cs="Times New Roman"/>
          <w:bCs/>
          <w:lang w:eastAsia="ru-RU"/>
        </w:rPr>
        <w:t>MBS;</w:t>
      </w:r>
    </w:p>
    <w:p w14:paraId="4A3D3524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92C7B0C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Купонная ставка по FRN (Floating Rate Notes) обычно привязана к</w:t>
      </w:r>
      <w:r>
        <w:rPr>
          <w:rFonts w:eastAsia="Times New Roman" w:cs="Times New Roman"/>
          <w:bCs/>
          <w:lang w:eastAsia="ru-RU"/>
        </w:rPr>
        <w:t xml:space="preserve"> с</w:t>
      </w:r>
      <w:r w:rsidRPr="00753A1F">
        <w:rPr>
          <w:rFonts w:eastAsia="Times New Roman" w:cs="Times New Roman"/>
          <w:bCs/>
          <w:lang w:eastAsia="ru-RU"/>
        </w:rPr>
        <w:t>тавке LIBOR</w:t>
      </w:r>
    </w:p>
    <w:p w14:paraId="2A795473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BA9987F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 xml:space="preserve">Ставка LIBOR является главным эталоном денежного рынка </w:t>
      </w:r>
      <w:r>
        <w:rPr>
          <w:rFonts w:eastAsia="Times New Roman" w:cs="Times New Roman"/>
          <w:bCs/>
          <w:lang w:eastAsia="ru-RU"/>
        </w:rPr>
        <w:t>на мировом рынке</w:t>
      </w:r>
    </w:p>
    <w:p w14:paraId="044BF604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1299B91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С</w:t>
      </w:r>
      <w:r w:rsidRPr="00753A1F">
        <w:rPr>
          <w:rFonts w:eastAsia="Times New Roman" w:cs="Times New Roman"/>
          <w:bCs/>
          <w:lang w:eastAsia="ru-RU"/>
        </w:rPr>
        <w:t>прэд по государственным облигациям стран Еврозоны</w:t>
      </w:r>
      <w:r w:rsidRPr="004E05D0"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>рассчитывается</w:t>
      </w:r>
      <w:r w:rsidRPr="004E05D0">
        <w:rPr>
          <w:rFonts w:eastAsia="Times New Roman" w:cs="Times New Roman"/>
          <w:bCs/>
          <w:lang w:eastAsia="ru-RU"/>
        </w:rPr>
        <w:t xml:space="preserve"> </w:t>
      </w:r>
      <w:r>
        <w:rPr>
          <w:rFonts w:eastAsia="Times New Roman" w:cs="Times New Roman"/>
          <w:bCs/>
          <w:lang w:eastAsia="ru-RU"/>
        </w:rPr>
        <w:t>п</w:t>
      </w:r>
      <w:r w:rsidRPr="00753A1F">
        <w:rPr>
          <w:rFonts w:eastAsia="Times New Roman" w:cs="Times New Roman"/>
          <w:bCs/>
          <w:lang w:eastAsia="ru-RU"/>
        </w:rPr>
        <w:t>о отношению к государственным облигациям Германии</w:t>
      </w:r>
    </w:p>
    <w:p w14:paraId="6441F8A5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1ECAC3B" w14:textId="2A9658D1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Под еврооблигациями понимают</w:t>
      </w:r>
      <w:r>
        <w:rPr>
          <w:rFonts w:eastAsia="Times New Roman" w:cs="Times New Roman"/>
          <w:bCs/>
          <w:lang w:eastAsia="ru-RU"/>
        </w:rPr>
        <w:t xml:space="preserve"> о</w:t>
      </w:r>
      <w:r w:rsidRPr="00753A1F">
        <w:rPr>
          <w:rFonts w:eastAsia="Times New Roman" w:cs="Times New Roman"/>
          <w:bCs/>
          <w:lang w:eastAsia="ru-RU"/>
        </w:rPr>
        <w:t>блигации, выпущенные</w:t>
      </w:r>
      <w:r w:rsidR="00AF791A" w:rsidRPr="00AF791A">
        <w:rPr>
          <w:rFonts w:eastAsia="Times New Roman" w:cs="Times New Roman"/>
          <w:bCs/>
          <w:lang w:eastAsia="ru-RU"/>
        </w:rPr>
        <w:t xml:space="preserve"> на международном рынке по правилам, разработанным ICMA</w:t>
      </w:r>
    </w:p>
    <w:p w14:paraId="7F98288C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071F111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Рынок еврооблигаций:</w:t>
      </w:r>
    </w:p>
    <w:p w14:paraId="2E39D87E" w14:textId="77777777" w:rsidR="001326DB" w:rsidRPr="00AA3A1E" w:rsidRDefault="001326DB" w:rsidP="00C64A99">
      <w:pPr>
        <w:pStyle w:val="a9"/>
        <w:numPr>
          <w:ilvl w:val="0"/>
          <w:numId w:val="43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AA3A1E">
        <w:rPr>
          <w:rFonts w:eastAsia="Times New Roman" w:cs="Times New Roman"/>
          <w:bCs/>
          <w:lang w:eastAsia="ru-RU"/>
        </w:rPr>
        <w:t>Большая часть еврооблигаций приходится на облигации с фиксированной процентной ставкой;</w:t>
      </w:r>
    </w:p>
    <w:p w14:paraId="7C331FE7" w14:textId="77777777" w:rsidR="001326DB" w:rsidRPr="00AA3A1E" w:rsidRDefault="001326DB" w:rsidP="00C64A99">
      <w:pPr>
        <w:pStyle w:val="a9"/>
        <w:numPr>
          <w:ilvl w:val="0"/>
          <w:numId w:val="43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AA3A1E">
        <w:rPr>
          <w:rFonts w:eastAsia="Times New Roman" w:cs="Times New Roman"/>
          <w:bCs/>
          <w:lang w:eastAsia="ru-RU"/>
        </w:rPr>
        <w:t>Еврооблигации появились в начале 1960-х годов;</w:t>
      </w:r>
    </w:p>
    <w:p w14:paraId="505BED38" w14:textId="77777777" w:rsidR="001326DB" w:rsidRPr="00AA3A1E" w:rsidRDefault="001326DB" w:rsidP="00C64A99">
      <w:pPr>
        <w:pStyle w:val="a9"/>
        <w:numPr>
          <w:ilvl w:val="0"/>
          <w:numId w:val="43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AA3A1E">
        <w:rPr>
          <w:rFonts w:eastAsia="Times New Roman" w:cs="Times New Roman"/>
          <w:bCs/>
          <w:lang w:eastAsia="ru-RU"/>
        </w:rPr>
        <w:t>Инфраструктура рынка облигаций появилась в конце 1960-х годов;</w:t>
      </w:r>
    </w:p>
    <w:p w14:paraId="71A86F28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0D16EEE" w14:textId="77777777" w:rsidR="001326DB" w:rsidRPr="005F31C2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5F31C2">
        <w:rPr>
          <w:rFonts w:eastAsia="Times New Roman" w:cs="Times New Roman"/>
          <w:bCs/>
          <w:lang w:eastAsia="ru-RU"/>
        </w:rPr>
        <w:t>Еврооблигации могут быть номинированы в любой валюте;</w:t>
      </w:r>
    </w:p>
    <w:p w14:paraId="24423A76" w14:textId="77777777" w:rsidR="005F31C2" w:rsidRDefault="005F31C2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28B828B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Расчетно-депозитарная(ые) система(ы), обслуживающая(ие) участников рынка еврооблигаций, называе(ю)тся:</w:t>
      </w:r>
    </w:p>
    <w:p w14:paraId="5D1BE077" w14:textId="77777777" w:rsidR="001326DB" w:rsidRPr="00AA3A1E" w:rsidRDefault="001326DB" w:rsidP="00C64A99">
      <w:pPr>
        <w:pStyle w:val="a9"/>
        <w:numPr>
          <w:ilvl w:val="0"/>
          <w:numId w:val="4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AA3A1E">
        <w:rPr>
          <w:rFonts w:eastAsia="Times New Roman" w:cs="Times New Roman"/>
          <w:bCs/>
          <w:lang w:eastAsia="ru-RU"/>
        </w:rPr>
        <w:t>Euroclear;</w:t>
      </w:r>
    </w:p>
    <w:p w14:paraId="117F2A7F" w14:textId="77777777" w:rsidR="001326DB" w:rsidRPr="00AA3A1E" w:rsidRDefault="001326DB" w:rsidP="00C64A99">
      <w:pPr>
        <w:pStyle w:val="a9"/>
        <w:numPr>
          <w:ilvl w:val="0"/>
          <w:numId w:val="4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AA3A1E">
        <w:rPr>
          <w:rFonts w:eastAsia="Times New Roman" w:cs="Times New Roman"/>
          <w:bCs/>
          <w:lang w:eastAsia="ru-RU"/>
        </w:rPr>
        <w:t>Clearstream;</w:t>
      </w:r>
    </w:p>
    <w:p w14:paraId="6C5F4129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D53C373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Основными элементами расчетной инфраструктуры рынка еврооблигаций являются:</w:t>
      </w:r>
    </w:p>
    <w:p w14:paraId="317DC881" w14:textId="77777777" w:rsidR="001326DB" w:rsidRPr="00AA3A1E" w:rsidRDefault="001326DB" w:rsidP="00C64A99">
      <w:pPr>
        <w:pStyle w:val="a9"/>
        <w:numPr>
          <w:ilvl w:val="0"/>
          <w:numId w:val="4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AA3A1E">
        <w:rPr>
          <w:rFonts w:eastAsia="Times New Roman" w:cs="Times New Roman"/>
          <w:bCs/>
          <w:lang w:eastAsia="ru-RU"/>
        </w:rPr>
        <w:t>Евроклир;</w:t>
      </w:r>
    </w:p>
    <w:p w14:paraId="4181B968" w14:textId="77777777" w:rsidR="001326DB" w:rsidRPr="00AA3A1E" w:rsidRDefault="001326DB" w:rsidP="00C64A99">
      <w:pPr>
        <w:pStyle w:val="a9"/>
        <w:numPr>
          <w:ilvl w:val="0"/>
          <w:numId w:val="4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AA3A1E">
        <w:rPr>
          <w:rFonts w:eastAsia="Times New Roman" w:cs="Times New Roman"/>
          <w:bCs/>
          <w:lang w:eastAsia="ru-RU"/>
        </w:rPr>
        <w:t>Клеарстрим;</w:t>
      </w:r>
    </w:p>
    <w:p w14:paraId="6A408DD5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98E1260" w14:textId="68CF7493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Е</w:t>
      </w:r>
      <w:r w:rsidRPr="00753A1F">
        <w:rPr>
          <w:rFonts w:eastAsia="Times New Roman" w:cs="Times New Roman"/>
          <w:bCs/>
          <w:lang w:eastAsia="ru-RU"/>
        </w:rPr>
        <w:t>врооблигации</w:t>
      </w:r>
      <w:r w:rsidRPr="00AA3A1E">
        <w:rPr>
          <w:rFonts w:eastAsia="Times New Roman" w:cs="Times New Roman"/>
          <w:bCs/>
          <w:lang w:eastAsia="ru-RU"/>
        </w:rPr>
        <w:t xml:space="preserve"> </w:t>
      </w:r>
      <w:r w:rsidR="001D717D">
        <w:rPr>
          <w:rFonts w:eastAsia="Times New Roman" w:cs="Times New Roman"/>
          <w:bCs/>
          <w:lang w:eastAsia="ru-RU"/>
        </w:rPr>
        <w:t xml:space="preserve">традиционно </w:t>
      </w:r>
      <w:r w:rsidRPr="00753A1F">
        <w:rPr>
          <w:rFonts w:eastAsia="Times New Roman" w:cs="Times New Roman"/>
          <w:bCs/>
          <w:lang w:eastAsia="ru-RU"/>
        </w:rPr>
        <w:t>в основном котируются</w:t>
      </w:r>
      <w:r>
        <w:rPr>
          <w:rFonts w:eastAsia="Times New Roman" w:cs="Times New Roman"/>
          <w:bCs/>
          <w:lang w:eastAsia="ru-RU"/>
        </w:rPr>
        <w:t xml:space="preserve"> на:</w:t>
      </w:r>
    </w:p>
    <w:p w14:paraId="6A63B93A" w14:textId="77777777" w:rsidR="001326DB" w:rsidRPr="00AA3A1E" w:rsidRDefault="001326DB" w:rsidP="00C64A99">
      <w:pPr>
        <w:pStyle w:val="a9"/>
        <w:numPr>
          <w:ilvl w:val="0"/>
          <w:numId w:val="4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AA3A1E">
        <w:rPr>
          <w:rFonts w:eastAsia="Times New Roman" w:cs="Times New Roman"/>
          <w:bCs/>
          <w:lang w:eastAsia="ru-RU"/>
        </w:rPr>
        <w:t>Лондонская фондовая биржа (LSE);</w:t>
      </w:r>
    </w:p>
    <w:p w14:paraId="0EC5C36F" w14:textId="77777777" w:rsidR="001326DB" w:rsidRPr="00AA3A1E" w:rsidRDefault="001326DB" w:rsidP="00C64A99">
      <w:pPr>
        <w:pStyle w:val="a9"/>
        <w:numPr>
          <w:ilvl w:val="0"/>
          <w:numId w:val="4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AA3A1E">
        <w:rPr>
          <w:rFonts w:eastAsia="Times New Roman" w:cs="Times New Roman"/>
          <w:bCs/>
          <w:lang w:eastAsia="ru-RU"/>
        </w:rPr>
        <w:t>Люксембургская фондовая биржа.</w:t>
      </w:r>
    </w:p>
    <w:p w14:paraId="53E7393D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88BB0AD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Д</w:t>
      </w:r>
      <w:r w:rsidRPr="00753A1F">
        <w:rPr>
          <w:rFonts w:eastAsia="Times New Roman" w:cs="Times New Roman"/>
          <w:bCs/>
          <w:lang w:eastAsia="ru-RU"/>
        </w:rPr>
        <w:t>оходность еврооблигаций, выпущенных рос</w:t>
      </w:r>
      <w:r>
        <w:rPr>
          <w:rFonts w:eastAsia="Times New Roman" w:cs="Times New Roman"/>
          <w:bCs/>
          <w:lang w:eastAsia="ru-RU"/>
        </w:rPr>
        <w:t>сийскими банками в долларах США привязана к ставке</w:t>
      </w:r>
      <w:r w:rsidRPr="00753A1F">
        <w:rPr>
          <w:rFonts w:eastAsia="Times New Roman" w:cs="Times New Roman"/>
          <w:bCs/>
          <w:lang w:eastAsia="ru-RU"/>
        </w:rPr>
        <w:t xml:space="preserve"> доходности американских казначейских облигаций</w:t>
      </w:r>
    </w:p>
    <w:p w14:paraId="5205BCAE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B343FEF" w14:textId="77777777" w:rsidR="006418A3" w:rsidRPr="00753A1F" w:rsidRDefault="006418A3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1244543" w14:textId="77777777" w:rsidR="001326DB" w:rsidRPr="00E859F0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E859F0">
        <w:rPr>
          <w:rFonts w:eastAsia="Times New Roman" w:cs="Times New Roman"/>
          <w:bCs/>
          <w:i/>
          <w:lang w:eastAsia="ru-RU"/>
        </w:rPr>
        <w:lastRenderedPageBreak/>
        <w:t>Пример</w:t>
      </w:r>
    </w:p>
    <w:p w14:paraId="27820451" w14:textId="7099957D" w:rsidR="001326DB" w:rsidRPr="00E859F0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E859F0">
        <w:rPr>
          <w:rFonts w:eastAsia="Times New Roman" w:cs="Times New Roman"/>
          <w:bCs/>
          <w:i/>
          <w:lang w:eastAsia="ru-RU"/>
        </w:rPr>
        <w:t>Определите доходность р</w:t>
      </w:r>
      <w:r w:rsidR="004B490D">
        <w:rPr>
          <w:rFonts w:eastAsia="Times New Roman" w:cs="Times New Roman"/>
          <w:bCs/>
          <w:i/>
          <w:lang w:eastAsia="ru-RU"/>
        </w:rPr>
        <w:t xml:space="preserve">оссийских еврооблигаций Rus 30, </w:t>
      </w:r>
      <w:r w:rsidRPr="00E859F0">
        <w:rPr>
          <w:rFonts w:eastAsia="Times New Roman" w:cs="Times New Roman"/>
          <w:bCs/>
          <w:i/>
          <w:lang w:eastAsia="ru-RU"/>
        </w:rPr>
        <w:t>если спрэд доходности к бенчмарку составлял 136 базисных пункта, доходность американских казначейских 10 летних облигаций составляла 2,21%; немецких 0,61%; японских 0,43%; английских 1,94%.</w:t>
      </w:r>
    </w:p>
    <w:p w14:paraId="41EC5D42" w14:textId="77777777" w:rsidR="001326DB" w:rsidRPr="00E859F0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E859F0">
        <w:rPr>
          <w:rFonts w:eastAsia="Times New Roman" w:cs="Times New Roman"/>
          <w:bCs/>
          <w:i/>
          <w:lang w:eastAsia="ru-RU"/>
        </w:rPr>
        <w:t>Доходность = 2,21% + 1,36% = 3,57%</w:t>
      </w:r>
    </w:p>
    <w:p w14:paraId="23C291E8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A643E74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Выпуск еврооблигаций регулируется</w:t>
      </w:r>
      <w:r>
        <w:rPr>
          <w:rFonts w:eastAsia="Times New Roman" w:cs="Times New Roman"/>
          <w:bCs/>
          <w:lang w:eastAsia="ru-RU"/>
        </w:rPr>
        <w:t xml:space="preserve"> п</w:t>
      </w:r>
      <w:r w:rsidRPr="00753A1F">
        <w:rPr>
          <w:rFonts w:eastAsia="Times New Roman" w:cs="Times New Roman"/>
          <w:bCs/>
          <w:lang w:eastAsia="ru-RU"/>
        </w:rPr>
        <w:t>равилами ICMA</w:t>
      </w:r>
    </w:p>
    <w:p w14:paraId="72BCEBC9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4AE83C4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Еврооблигации:</w:t>
      </w:r>
    </w:p>
    <w:p w14:paraId="4601D8E2" w14:textId="77777777" w:rsidR="001326DB" w:rsidRPr="00654AC3" w:rsidRDefault="001326DB" w:rsidP="00C64A99">
      <w:pPr>
        <w:pStyle w:val="a9"/>
        <w:numPr>
          <w:ilvl w:val="0"/>
          <w:numId w:val="48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654AC3">
        <w:rPr>
          <w:rFonts w:eastAsia="Times New Roman" w:cs="Times New Roman"/>
          <w:bCs/>
          <w:lang w:eastAsia="ru-RU"/>
        </w:rPr>
        <w:t>Большая часть еврооблигаций приходится на облигации, выпущенные финансовыми институтами;</w:t>
      </w:r>
    </w:p>
    <w:p w14:paraId="4FEA3868" w14:textId="77777777" w:rsidR="001326DB" w:rsidRPr="00654AC3" w:rsidRDefault="001326DB" w:rsidP="00C64A99">
      <w:pPr>
        <w:pStyle w:val="a9"/>
        <w:numPr>
          <w:ilvl w:val="0"/>
          <w:numId w:val="48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654AC3">
        <w:rPr>
          <w:rFonts w:eastAsia="Times New Roman" w:cs="Times New Roman"/>
          <w:bCs/>
          <w:lang w:eastAsia="ru-RU"/>
        </w:rPr>
        <w:t>Большая часть еврооблигаций размещена  английскими заемщиками;</w:t>
      </w:r>
    </w:p>
    <w:p w14:paraId="6782D39B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0FCDBBE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Э</w:t>
      </w:r>
      <w:r w:rsidRPr="00753A1F">
        <w:rPr>
          <w:rFonts w:eastAsia="Times New Roman" w:cs="Times New Roman"/>
          <w:bCs/>
          <w:lang w:eastAsia="ru-RU"/>
        </w:rPr>
        <w:t>митент отзывных еврооблигаций, если процентные ставки на рынке увеличатся</w:t>
      </w:r>
      <w:r>
        <w:rPr>
          <w:rFonts w:eastAsia="Times New Roman" w:cs="Times New Roman"/>
          <w:bCs/>
          <w:lang w:eastAsia="ru-RU"/>
        </w:rPr>
        <w:t xml:space="preserve"> н</w:t>
      </w:r>
      <w:r w:rsidRPr="00753A1F">
        <w:rPr>
          <w:rFonts w:eastAsia="Times New Roman" w:cs="Times New Roman"/>
          <w:bCs/>
          <w:lang w:eastAsia="ru-RU"/>
        </w:rPr>
        <w:t>ичего предпринимать не будет</w:t>
      </w:r>
    </w:p>
    <w:p w14:paraId="1F86DA39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36E7A27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Э</w:t>
      </w:r>
      <w:r w:rsidRPr="00753A1F">
        <w:rPr>
          <w:rFonts w:eastAsia="Times New Roman" w:cs="Times New Roman"/>
          <w:bCs/>
          <w:lang w:eastAsia="ru-RU"/>
        </w:rPr>
        <w:t>митент отзывных еврооблигаций, если процентные ставки на рынке снизятся</w:t>
      </w:r>
      <w:r>
        <w:rPr>
          <w:rFonts w:eastAsia="Times New Roman" w:cs="Times New Roman"/>
          <w:bCs/>
          <w:lang w:eastAsia="ru-RU"/>
        </w:rPr>
        <w:t xml:space="preserve"> в</w:t>
      </w:r>
      <w:r w:rsidRPr="00753A1F">
        <w:rPr>
          <w:rFonts w:eastAsia="Times New Roman" w:cs="Times New Roman"/>
          <w:bCs/>
          <w:lang w:eastAsia="ru-RU"/>
        </w:rPr>
        <w:t>оспользуется правом досрочного погашения</w:t>
      </w:r>
    </w:p>
    <w:p w14:paraId="1050DB8D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903583D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Профессиональные участники рынка еврооблигаций объединены в ICMA</w:t>
      </w:r>
    </w:p>
    <w:p w14:paraId="605CCF7C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390B225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3 уровень американских депозитарных расписок позволяет эмитенту базовых акций привлечь новый капитал путем выпуска акций дополнительной эмиссии</w:t>
      </w:r>
    </w:p>
    <w:p w14:paraId="410F1713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AF5016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В США:</w:t>
      </w:r>
    </w:p>
    <w:p w14:paraId="2442B909" w14:textId="77777777" w:rsidR="001326DB" w:rsidRPr="000D51D7" w:rsidRDefault="001326DB" w:rsidP="00C64A99">
      <w:pPr>
        <w:pStyle w:val="a9"/>
        <w:numPr>
          <w:ilvl w:val="0"/>
          <w:numId w:val="4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АДР программ 2 и 3 уровня обращаются на фондовых биржах;</w:t>
      </w:r>
    </w:p>
    <w:p w14:paraId="2EC15D2C" w14:textId="77777777" w:rsidR="001326DB" w:rsidRPr="000D51D7" w:rsidRDefault="001326DB" w:rsidP="00C64A99">
      <w:pPr>
        <w:pStyle w:val="a9"/>
        <w:numPr>
          <w:ilvl w:val="0"/>
          <w:numId w:val="4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Программы 3 уровня позволяют привлечь новый капитал.</w:t>
      </w:r>
    </w:p>
    <w:p w14:paraId="4B201EBA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6035C6F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У</w:t>
      </w:r>
      <w:r w:rsidRPr="00753A1F">
        <w:rPr>
          <w:rFonts w:eastAsia="Times New Roman" w:cs="Times New Roman"/>
          <w:bCs/>
          <w:lang w:eastAsia="ru-RU"/>
        </w:rPr>
        <w:t>словий выпуска и обращения американских депозитарных расписок (АДР).</w:t>
      </w:r>
    </w:p>
    <w:p w14:paraId="19FDBCEF" w14:textId="77777777" w:rsidR="001326DB" w:rsidRPr="000D51D7" w:rsidRDefault="001326DB" w:rsidP="00C64A99">
      <w:pPr>
        <w:pStyle w:val="a9"/>
        <w:numPr>
          <w:ilvl w:val="0"/>
          <w:numId w:val="5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АДР выпускаются американским банком – депозитарием;</w:t>
      </w:r>
    </w:p>
    <w:p w14:paraId="3645CF8D" w14:textId="77777777" w:rsidR="001326DB" w:rsidRPr="000D51D7" w:rsidRDefault="001326DB" w:rsidP="00C64A99">
      <w:pPr>
        <w:pStyle w:val="a9"/>
        <w:numPr>
          <w:ilvl w:val="0"/>
          <w:numId w:val="5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АДР подтверждают права собственности владельцев АДР на указанное в сертификате количество акций иностранных эмитентов;</w:t>
      </w:r>
    </w:p>
    <w:p w14:paraId="2F382CF0" w14:textId="77777777" w:rsidR="001326DB" w:rsidRPr="000D51D7" w:rsidRDefault="001326DB" w:rsidP="00C64A99">
      <w:pPr>
        <w:pStyle w:val="a9"/>
        <w:numPr>
          <w:ilvl w:val="0"/>
          <w:numId w:val="5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Акции, на которые выпускаются АДР, депонируются в банке-кастоди, находящемся в стране выпуска акций;</w:t>
      </w:r>
    </w:p>
    <w:p w14:paraId="1920CF6D" w14:textId="77777777" w:rsidR="001326DB" w:rsidRPr="000D51D7" w:rsidRDefault="001326DB" w:rsidP="00C64A99">
      <w:pPr>
        <w:pStyle w:val="a9"/>
        <w:numPr>
          <w:ilvl w:val="0"/>
          <w:numId w:val="5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АДР могут размещаться как на рынке США, так и на неамериканских (западноевропейских) рынках.</w:t>
      </w:r>
    </w:p>
    <w:p w14:paraId="1AC25314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BF9EEDF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Ф</w:t>
      </w:r>
      <w:r w:rsidRPr="00753A1F">
        <w:rPr>
          <w:rFonts w:eastAsia="Times New Roman" w:cs="Times New Roman"/>
          <w:bCs/>
          <w:lang w:eastAsia="ru-RU"/>
        </w:rPr>
        <w:t>ункции банка-депозитария, осуществляющего выпуск АДР (ГДР).</w:t>
      </w:r>
    </w:p>
    <w:p w14:paraId="2E4DBB3A" w14:textId="77777777" w:rsidR="001326DB" w:rsidRPr="000D51D7" w:rsidRDefault="001326DB" w:rsidP="00C64A99">
      <w:pPr>
        <w:pStyle w:val="a9"/>
        <w:numPr>
          <w:ilvl w:val="0"/>
          <w:numId w:val="52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Ведение реестра владельцев АДР (ГДР);</w:t>
      </w:r>
    </w:p>
    <w:p w14:paraId="77146E38" w14:textId="77777777" w:rsidR="001326DB" w:rsidRPr="000D51D7" w:rsidRDefault="001326DB" w:rsidP="00C64A99">
      <w:pPr>
        <w:pStyle w:val="a9"/>
        <w:numPr>
          <w:ilvl w:val="0"/>
          <w:numId w:val="52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Распространение среди владельцев АДР (ГДР) отчетности эмитента и другой важной информации;</w:t>
      </w:r>
    </w:p>
    <w:p w14:paraId="65D5457D" w14:textId="77777777" w:rsidR="001326DB" w:rsidRPr="000D51D7" w:rsidRDefault="001326DB" w:rsidP="00C64A99">
      <w:pPr>
        <w:pStyle w:val="a9"/>
        <w:numPr>
          <w:ilvl w:val="0"/>
          <w:numId w:val="52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Передача владельцам АДР (ГДР) дивидендов и других имущественных прав по акциям, лежащим в основе АДР (ГДР);</w:t>
      </w:r>
    </w:p>
    <w:p w14:paraId="41D7C306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D618544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Ф</w:t>
      </w:r>
      <w:r w:rsidRPr="00753A1F">
        <w:rPr>
          <w:rFonts w:eastAsia="Times New Roman" w:cs="Times New Roman"/>
          <w:bCs/>
          <w:lang w:eastAsia="ru-RU"/>
        </w:rPr>
        <w:t>ункции банка-кастоди при выпуске и обращении АДР (ГДР).</w:t>
      </w:r>
    </w:p>
    <w:p w14:paraId="71422B23" w14:textId="77777777" w:rsidR="001326DB" w:rsidRPr="000D51D7" w:rsidRDefault="001326DB" w:rsidP="00C64A99">
      <w:pPr>
        <w:pStyle w:val="a9"/>
        <w:numPr>
          <w:ilvl w:val="0"/>
          <w:numId w:val="53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Учет и перерегистрация акций, на которые выпущены АДР (ГДР);</w:t>
      </w:r>
    </w:p>
    <w:p w14:paraId="127DC8B7" w14:textId="77777777" w:rsidR="001326DB" w:rsidRPr="000D51D7" w:rsidRDefault="001326DB" w:rsidP="00C64A99">
      <w:pPr>
        <w:pStyle w:val="a9"/>
        <w:numPr>
          <w:ilvl w:val="0"/>
          <w:numId w:val="53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Представительство в реестре акционеров компании-эмитента путем регистрации в качестве номинального держателя;</w:t>
      </w:r>
    </w:p>
    <w:p w14:paraId="7E89D6A3" w14:textId="77777777" w:rsidR="001326DB" w:rsidRPr="000D51D7" w:rsidRDefault="001326DB" w:rsidP="00C64A99">
      <w:pPr>
        <w:pStyle w:val="a9"/>
        <w:numPr>
          <w:ilvl w:val="0"/>
          <w:numId w:val="53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Получение дивидендов в национальной валюте страны выпуска акций и перевод их в банк-депозитарий в валюте страны обращения АДР (ГДР).</w:t>
      </w:r>
    </w:p>
    <w:p w14:paraId="08FC3A55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F567FF5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</w:t>
      </w:r>
      <w:r w:rsidRPr="00753A1F">
        <w:rPr>
          <w:rFonts w:eastAsia="Times New Roman" w:cs="Times New Roman"/>
          <w:bCs/>
          <w:lang w:eastAsia="ru-RU"/>
        </w:rPr>
        <w:t>рава владельцев АДР (ГДР).</w:t>
      </w:r>
    </w:p>
    <w:p w14:paraId="4477B2DE" w14:textId="77777777" w:rsidR="001326DB" w:rsidRPr="000D51D7" w:rsidRDefault="001326DB" w:rsidP="00C64A99">
      <w:pPr>
        <w:pStyle w:val="a9"/>
        <w:numPr>
          <w:ilvl w:val="0"/>
          <w:numId w:val="5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Право получать дивиденды в валюте страны обращения АДР (ГДР);</w:t>
      </w:r>
    </w:p>
    <w:p w14:paraId="3F15D8D2" w14:textId="77777777" w:rsidR="001326DB" w:rsidRPr="000D51D7" w:rsidRDefault="001326DB" w:rsidP="00C64A99">
      <w:pPr>
        <w:pStyle w:val="a9"/>
        <w:numPr>
          <w:ilvl w:val="0"/>
          <w:numId w:val="5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Право получать годовые отчеты;</w:t>
      </w:r>
    </w:p>
    <w:p w14:paraId="442BD8E4" w14:textId="77777777" w:rsidR="001326DB" w:rsidRPr="000D51D7" w:rsidRDefault="001326DB" w:rsidP="00C64A99">
      <w:pPr>
        <w:pStyle w:val="a9"/>
        <w:numPr>
          <w:ilvl w:val="0"/>
          <w:numId w:val="5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Право преимущественного приобретения акций новых выпусков, на которые выпущены АДР (ГДР).</w:t>
      </w:r>
    </w:p>
    <w:p w14:paraId="612C6C2E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03F1A4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</w:t>
      </w:r>
      <w:r w:rsidRPr="00753A1F">
        <w:rPr>
          <w:rFonts w:eastAsia="Times New Roman" w:cs="Times New Roman"/>
          <w:bCs/>
          <w:lang w:eastAsia="ru-RU"/>
        </w:rPr>
        <w:t>реимущества приобретения инвесторами АДР по сравнению с приобретением акций иностранных эмитентов.</w:t>
      </w:r>
    </w:p>
    <w:p w14:paraId="0FDEAE31" w14:textId="77777777" w:rsidR="001326DB" w:rsidRPr="000D51D7" w:rsidRDefault="001326DB" w:rsidP="00C64A99">
      <w:pPr>
        <w:pStyle w:val="a9"/>
        <w:numPr>
          <w:ilvl w:val="0"/>
          <w:numId w:val="5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Не требуется регистрация прав собственности реестродержателем в стране выпуска акций;</w:t>
      </w:r>
    </w:p>
    <w:p w14:paraId="6CCD5655" w14:textId="77777777" w:rsidR="001326DB" w:rsidRPr="000D51D7" w:rsidRDefault="001326DB" w:rsidP="00C64A99">
      <w:pPr>
        <w:pStyle w:val="a9"/>
        <w:numPr>
          <w:ilvl w:val="0"/>
          <w:numId w:val="5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Не требуется уплаты налогов в соответствии с законодательством страны эмитента;</w:t>
      </w:r>
    </w:p>
    <w:p w14:paraId="1C75DC7F" w14:textId="77777777" w:rsidR="001326DB" w:rsidRPr="000D51D7" w:rsidRDefault="001326DB" w:rsidP="00C64A99">
      <w:pPr>
        <w:pStyle w:val="a9"/>
        <w:numPr>
          <w:ilvl w:val="0"/>
          <w:numId w:val="5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0D51D7">
        <w:rPr>
          <w:rFonts w:eastAsia="Times New Roman" w:cs="Times New Roman"/>
          <w:bCs/>
          <w:lang w:eastAsia="ru-RU"/>
        </w:rPr>
        <w:t>Отчетность эмитента акций раскрывается в соответствии со стандартами страны обращения АДР (ГДР).</w:t>
      </w:r>
    </w:p>
    <w:p w14:paraId="7098A31D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AB68B78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АДР 1 уровня выпускаются по инициативе эмитента акций, могут быть выпущены банком-депозитарием только на ранее выпущенные эмитентом акции, и обращаются на внебиржевом рынке США</w:t>
      </w:r>
    </w:p>
    <w:p w14:paraId="38113EDB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8A51D3F" w14:textId="4C03EFC2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АДР 2 уровня выпускаются по инициативе эмитента акций, могут быть выпущены банком-депозитарием на ранее выпущенные эмитентом акции и обращаются в США на бирже</w:t>
      </w:r>
    </w:p>
    <w:p w14:paraId="415FAA84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E1D5F6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</w:t>
      </w:r>
      <w:r w:rsidRPr="00753A1F">
        <w:rPr>
          <w:rFonts w:eastAsia="Times New Roman" w:cs="Times New Roman"/>
          <w:bCs/>
          <w:lang w:eastAsia="ru-RU"/>
        </w:rPr>
        <w:t>о инициативе эмитента акций, и могут быть выпущены банком-депоз</w:t>
      </w:r>
      <w:r>
        <w:rPr>
          <w:rFonts w:eastAsia="Times New Roman" w:cs="Times New Roman"/>
          <w:bCs/>
          <w:lang w:eastAsia="ru-RU"/>
        </w:rPr>
        <w:t>итарием на акции новых выпусков:</w:t>
      </w:r>
    </w:p>
    <w:p w14:paraId="17E09C0D" w14:textId="77777777" w:rsidR="001326DB" w:rsidRPr="00E40CDC" w:rsidRDefault="001326DB" w:rsidP="00C64A99">
      <w:pPr>
        <w:pStyle w:val="a9"/>
        <w:numPr>
          <w:ilvl w:val="0"/>
          <w:numId w:val="5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«Ограниченные» АДР (Rule 144a/Reg.S);</w:t>
      </w:r>
    </w:p>
    <w:p w14:paraId="1ECF5EB7" w14:textId="77777777" w:rsidR="001326DB" w:rsidRPr="00E40CDC" w:rsidRDefault="001326DB" w:rsidP="00C64A99">
      <w:pPr>
        <w:pStyle w:val="a9"/>
        <w:numPr>
          <w:ilvl w:val="0"/>
          <w:numId w:val="5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АДР 3 уровня.</w:t>
      </w:r>
    </w:p>
    <w:p w14:paraId="14714A9B" w14:textId="77777777" w:rsidR="001326DB" w:rsidRDefault="001326DB" w:rsidP="00C64A99">
      <w:pPr>
        <w:pStyle w:val="a9"/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3E3D905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Выпуск и обращение деп</w:t>
      </w:r>
      <w:r>
        <w:rPr>
          <w:rFonts w:eastAsia="Times New Roman" w:cs="Times New Roman"/>
          <w:bCs/>
          <w:lang w:eastAsia="ru-RU"/>
        </w:rPr>
        <w:t>озитарных расписок регулируются р</w:t>
      </w:r>
      <w:r w:rsidRPr="00753A1F">
        <w:rPr>
          <w:rFonts w:eastAsia="Times New Roman" w:cs="Times New Roman"/>
          <w:bCs/>
          <w:lang w:eastAsia="ru-RU"/>
        </w:rPr>
        <w:t>егулятором той страны, где обращаются депозитарные расписки</w:t>
      </w:r>
    </w:p>
    <w:p w14:paraId="170976C0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0797AC8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АДР российских компаний торгуются на:</w:t>
      </w:r>
    </w:p>
    <w:p w14:paraId="6F6819B4" w14:textId="77777777" w:rsidR="001326DB" w:rsidRPr="00E40CDC" w:rsidRDefault="001326DB" w:rsidP="00C64A99">
      <w:pPr>
        <w:pStyle w:val="a9"/>
        <w:numPr>
          <w:ilvl w:val="0"/>
          <w:numId w:val="5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NYSE;</w:t>
      </w:r>
    </w:p>
    <w:p w14:paraId="07AF006F" w14:textId="77777777" w:rsidR="001326DB" w:rsidRPr="00E40CDC" w:rsidRDefault="001326DB" w:rsidP="00C64A99">
      <w:pPr>
        <w:pStyle w:val="a9"/>
        <w:numPr>
          <w:ilvl w:val="0"/>
          <w:numId w:val="5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NASDAQ;</w:t>
      </w:r>
    </w:p>
    <w:p w14:paraId="5FB0677B" w14:textId="77777777" w:rsidR="001326DB" w:rsidRPr="00E40CDC" w:rsidRDefault="001326DB" w:rsidP="00C64A99">
      <w:pPr>
        <w:pStyle w:val="a9"/>
        <w:numPr>
          <w:ilvl w:val="0"/>
          <w:numId w:val="5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LSE;</w:t>
      </w:r>
    </w:p>
    <w:p w14:paraId="0D7ECCA1" w14:textId="77777777" w:rsidR="001326DB" w:rsidRPr="00E40CDC" w:rsidRDefault="001326DB" w:rsidP="00C64A99">
      <w:pPr>
        <w:pStyle w:val="a9"/>
        <w:numPr>
          <w:ilvl w:val="0"/>
          <w:numId w:val="5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Внебиржевом рынке США (OTC).</w:t>
      </w:r>
    </w:p>
    <w:p w14:paraId="547CE207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5F80075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Крупнейшим эмитентом депозитарных расписок в США и в мире является</w:t>
      </w:r>
      <w:r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>Bank of New York Mellon</w:t>
      </w:r>
    </w:p>
    <w:p w14:paraId="0BD4E414" w14:textId="77777777" w:rsidR="001326DB" w:rsidRPr="00C64A99" w:rsidRDefault="001326DB" w:rsidP="001326DB">
      <w:pPr>
        <w:spacing w:after="0" w:line="23" w:lineRule="atLeast"/>
      </w:pPr>
    </w:p>
    <w:p w14:paraId="013E8AA4" w14:textId="61692F1B" w:rsidR="001326DB" w:rsidRPr="00E40CDC" w:rsidRDefault="006418A3" w:rsidP="001326DB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Тема </w:t>
      </w:r>
      <w:r w:rsidR="00C64A99">
        <w:rPr>
          <w:rFonts w:eastAsia="Times New Roman" w:cs="Times New Roman"/>
          <w:b/>
          <w:bCs/>
          <w:sz w:val="24"/>
          <w:szCs w:val="24"/>
          <w:lang w:eastAsia="ru-RU"/>
        </w:rPr>
        <w:t>8</w:t>
      </w:r>
      <w:r w:rsidR="001326DB" w:rsidRPr="00E40CDC">
        <w:rPr>
          <w:rFonts w:eastAsia="Times New Roman" w:cs="Times New Roman"/>
          <w:b/>
          <w:bCs/>
          <w:sz w:val="24"/>
          <w:szCs w:val="24"/>
          <w:lang w:eastAsia="ru-RU"/>
        </w:rPr>
        <w:t>.3. Особенности иностранных финансовых рынков</w:t>
      </w:r>
    </w:p>
    <w:p w14:paraId="575971F8" w14:textId="77777777" w:rsidR="001326DB" w:rsidRPr="00C64A99" w:rsidRDefault="001326DB" w:rsidP="001326DB">
      <w:pPr>
        <w:spacing w:after="0" w:line="23" w:lineRule="atLeast"/>
      </w:pPr>
    </w:p>
    <w:p w14:paraId="1D76205F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Переход к системе единого регулятора в Англии, Германии, Японии и других странах связан с:</w:t>
      </w:r>
    </w:p>
    <w:p w14:paraId="57C4A351" w14:textId="77777777" w:rsidR="001326DB" w:rsidRPr="00E40CDC" w:rsidRDefault="001326DB" w:rsidP="00C64A99">
      <w:pPr>
        <w:pStyle w:val="a9"/>
        <w:numPr>
          <w:ilvl w:val="0"/>
          <w:numId w:val="58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Растущей интеграцией финансовых рынков;</w:t>
      </w:r>
    </w:p>
    <w:p w14:paraId="2DBA4D38" w14:textId="77777777" w:rsidR="001326DB" w:rsidRPr="00E40CDC" w:rsidRDefault="001326DB" w:rsidP="00C64A99">
      <w:pPr>
        <w:pStyle w:val="a9"/>
        <w:numPr>
          <w:ilvl w:val="0"/>
          <w:numId w:val="58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Стиранием функциональных различий между отдельными типами финансовых учреждений;</w:t>
      </w:r>
    </w:p>
    <w:p w14:paraId="5F311B4F" w14:textId="77777777" w:rsidR="001326DB" w:rsidRPr="00E40CDC" w:rsidRDefault="001326DB" w:rsidP="00C64A99">
      <w:pPr>
        <w:pStyle w:val="a9"/>
        <w:numPr>
          <w:ilvl w:val="0"/>
          <w:numId w:val="58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Стремлением уменьшить регулятивные издержки.</w:t>
      </w:r>
    </w:p>
    <w:p w14:paraId="79F187DA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1F5B473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Е</w:t>
      </w:r>
      <w:r w:rsidRPr="00753A1F">
        <w:rPr>
          <w:rFonts w:eastAsia="Times New Roman" w:cs="Times New Roman"/>
          <w:bCs/>
          <w:lang w:eastAsia="ru-RU"/>
        </w:rPr>
        <w:t>диный регулятор фи</w:t>
      </w:r>
      <w:r>
        <w:rPr>
          <w:rFonts w:eastAsia="Times New Roman" w:cs="Times New Roman"/>
          <w:bCs/>
          <w:lang w:eastAsia="ru-RU"/>
        </w:rPr>
        <w:t>нансового рынка (мегарегулятор) создан в:</w:t>
      </w:r>
    </w:p>
    <w:p w14:paraId="0A187C2B" w14:textId="77777777" w:rsidR="001326DB" w:rsidRPr="00E40CDC" w:rsidRDefault="001326DB" w:rsidP="00C64A99">
      <w:pPr>
        <w:pStyle w:val="a9"/>
        <w:numPr>
          <w:ilvl w:val="0"/>
          <w:numId w:val="5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Германия;</w:t>
      </w:r>
    </w:p>
    <w:p w14:paraId="68602FAC" w14:textId="77777777" w:rsidR="001326DB" w:rsidRPr="00E40CDC" w:rsidRDefault="001326DB" w:rsidP="00C64A99">
      <w:pPr>
        <w:pStyle w:val="a9"/>
        <w:numPr>
          <w:ilvl w:val="0"/>
          <w:numId w:val="5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Япония.</w:t>
      </w:r>
    </w:p>
    <w:p w14:paraId="4D11C036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D07B295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 xml:space="preserve">Согласно </w:t>
      </w:r>
      <w:r>
        <w:rPr>
          <w:rFonts w:eastAsia="Times New Roman" w:cs="Times New Roman"/>
          <w:bCs/>
          <w:lang w:eastAsia="ru-RU"/>
        </w:rPr>
        <w:t>з</w:t>
      </w:r>
      <w:r w:rsidRPr="00753A1F">
        <w:rPr>
          <w:rFonts w:eastAsia="Times New Roman" w:cs="Times New Roman"/>
          <w:bCs/>
          <w:lang w:eastAsia="ru-RU"/>
        </w:rPr>
        <w:t>акон</w:t>
      </w:r>
      <w:r>
        <w:rPr>
          <w:rFonts w:eastAsia="Times New Roman" w:cs="Times New Roman"/>
          <w:bCs/>
          <w:lang w:eastAsia="ru-RU"/>
        </w:rPr>
        <w:t>у</w:t>
      </w:r>
      <w:r w:rsidRPr="00753A1F">
        <w:rPr>
          <w:rFonts w:eastAsia="Times New Roman" w:cs="Times New Roman"/>
          <w:bCs/>
          <w:lang w:eastAsia="ru-RU"/>
        </w:rPr>
        <w:t xml:space="preserve"> Сарбэйнса-Оксли США, принятому в 2002 году, произошло резкое ужесточение требований по раскрытию корпоративной информаци</w:t>
      </w:r>
      <w:r>
        <w:rPr>
          <w:rFonts w:eastAsia="Times New Roman" w:cs="Times New Roman"/>
          <w:bCs/>
          <w:lang w:eastAsia="ru-RU"/>
        </w:rPr>
        <w:t>и со стороны компаний-эмитентов</w:t>
      </w:r>
    </w:p>
    <w:p w14:paraId="6B5AC53C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44D771A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The Securities Investor Protection Corporation (Корпорация по страхованию инвестиций в ценные бумаги) в США</w:t>
      </w:r>
      <w:r w:rsidRPr="00E40CDC"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>осуществляет выплаты</w:t>
      </w:r>
      <w:r>
        <w:rPr>
          <w:rFonts w:eastAsia="Times New Roman" w:cs="Times New Roman"/>
          <w:bCs/>
          <w:lang w:eastAsia="ru-RU"/>
        </w:rPr>
        <w:t xml:space="preserve"> з</w:t>
      </w:r>
      <w:r w:rsidRPr="00753A1F">
        <w:rPr>
          <w:rFonts w:eastAsia="Times New Roman" w:cs="Times New Roman"/>
          <w:bCs/>
          <w:lang w:eastAsia="ru-RU"/>
        </w:rPr>
        <w:t>а счет взносов самих инвестиционных посредников, работающих со средствами физических лиц.</w:t>
      </w:r>
    </w:p>
    <w:p w14:paraId="7ADECDEC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08EE0C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2 основополагающих закона о ценных бумагах США приняты в</w:t>
      </w:r>
      <w:r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>1933 и 1934 гг.</w:t>
      </w:r>
    </w:p>
    <w:p w14:paraId="14511612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5C86EBC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 xml:space="preserve">FINRA </w:t>
      </w:r>
      <w:r>
        <w:rPr>
          <w:rFonts w:eastAsia="Times New Roman" w:cs="Times New Roman"/>
          <w:bCs/>
          <w:lang w:eastAsia="ru-RU"/>
        </w:rPr>
        <w:t xml:space="preserve">- </w:t>
      </w:r>
      <w:r w:rsidRPr="00753A1F">
        <w:rPr>
          <w:rFonts w:eastAsia="Times New Roman" w:cs="Times New Roman"/>
          <w:bCs/>
          <w:lang w:eastAsia="ru-RU"/>
        </w:rPr>
        <w:t>крупнейшая американская СРО, объединяющая брокерские ко</w:t>
      </w:r>
      <w:r>
        <w:rPr>
          <w:rFonts w:eastAsia="Times New Roman" w:cs="Times New Roman"/>
          <w:bCs/>
          <w:lang w:eastAsia="ru-RU"/>
        </w:rPr>
        <w:t>мпании США</w:t>
      </w:r>
    </w:p>
    <w:p w14:paraId="512ADC7A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4592276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lastRenderedPageBreak/>
        <w:t>Рынок производных инструментов в США является объектом регулирования со стороны SEC (Комиссии по ценным бумагам и биржам) и CFTC (Комиссии по товарной и фьючерсной торговле) совместно</w:t>
      </w:r>
    </w:p>
    <w:p w14:paraId="1A8C0986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09560883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Закон о финансовой модернизации 1999 г. США (Закон Грэма-Лича-Блайли) разрешает банковским холдинговым компаниям заниматься:</w:t>
      </w:r>
    </w:p>
    <w:p w14:paraId="44915139" w14:textId="77777777" w:rsidR="001326DB" w:rsidRPr="00E40CDC" w:rsidRDefault="001326DB" w:rsidP="00C64A99">
      <w:pPr>
        <w:pStyle w:val="a9"/>
        <w:numPr>
          <w:ilvl w:val="0"/>
          <w:numId w:val="6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Андеррайтингом акций;</w:t>
      </w:r>
    </w:p>
    <w:p w14:paraId="15E5C410" w14:textId="77777777" w:rsidR="001326DB" w:rsidRPr="00E40CDC" w:rsidRDefault="001326DB" w:rsidP="00C64A99">
      <w:pPr>
        <w:pStyle w:val="a9"/>
        <w:numPr>
          <w:ilvl w:val="0"/>
          <w:numId w:val="6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Страхованием;</w:t>
      </w:r>
    </w:p>
    <w:p w14:paraId="2A9F50D0" w14:textId="77777777" w:rsidR="001326DB" w:rsidRPr="00E40CDC" w:rsidRDefault="001326DB" w:rsidP="00C64A99">
      <w:pPr>
        <w:pStyle w:val="a9"/>
        <w:numPr>
          <w:ilvl w:val="0"/>
          <w:numId w:val="6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Отменяет основные положения Закона Гласса-Стигала.</w:t>
      </w:r>
    </w:p>
    <w:p w14:paraId="3CEBFB7A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8BEF9CF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Система ЭДГАР (EDGAR) является системой</w:t>
      </w:r>
      <w:r>
        <w:rPr>
          <w:rFonts w:eastAsia="Times New Roman" w:cs="Times New Roman"/>
          <w:bCs/>
          <w:lang w:eastAsia="ru-RU"/>
        </w:rPr>
        <w:t xml:space="preserve"> с</w:t>
      </w:r>
      <w:r w:rsidRPr="00753A1F">
        <w:rPr>
          <w:rFonts w:eastAsia="Times New Roman" w:cs="Times New Roman"/>
          <w:bCs/>
          <w:lang w:eastAsia="ru-RU"/>
        </w:rPr>
        <w:t>бора и распространения информации SEC</w:t>
      </w:r>
    </w:p>
    <w:p w14:paraId="61824A4C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E69261E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Основной нормативный акт, касающийся операций на фондовом рынке в странах ЕС, называется</w:t>
      </w:r>
      <w:r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 xml:space="preserve"> MIFID Directive</w:t>
      </w:r>
    </w:p>
    <w:p w14:paraId="02E824F1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EDDF57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В ЕС наднациональным регулятором рынка ценных бумаг является</w:t>
      </w:r>
      <w:r>
        <w:rPr>
          <w:rFonts w:eastAsia="Times New Roman" w:cs="Times New Roman"/>
          <w:bCs/>
          <w:lang w:eastAsia="ru-RU"/>
        </w:rPr>
        <w:t xml:space="preserve"> </w:t>
      </w:r>
      <w:r w:rsidRPr="00753A1F">
        <w:rPr>
          <w:rFonts w:eastAsia="Times New Roman" w:cs="Times New Roman"/>
          <w:bCs/>
          <w:lang w:eastAsia="ru-RU"/>
        </w:rPr>
        <w:t>ESMA</w:t>
      </w:r>
    </w:p>
    <w:p w14:paraId="441D92E5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D99376E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Регулированием финансового рынка в Великобритании с 2012 г. занимаются:</w:t>
      </w:r>
    </w:p>
    <w:p w14:paraId="39F04171" w14:textId="77777777" w:rsidR="001326DB" w:rsidRPr="00E40CDC" w:rsidRDefault="001326DB" w:rsidP="00C64A99">
      <w:pPr>
        <w:pStyle w:val="a9"/>
        <w:numPr>
          <w:ilvl w:val="0"/>
          <w:numId w:val="63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Prudential Regulatory Authority (PRA);</w:t>
      </w:r>
    </w:p>
    <w:p w14:paraId="510B54A8" w14:textId="77777777" w:rsidR="001326DB" w:rsidRPr="00E40CDC" w:rsidRDefault="001326DB" w:rsidP="00C64A99">
      <w:pPr>
        <w:pStyle w:val="a9"/>
        <w:numPr>
          <w:ilvl w:val="0"/>
          <w:numId w:val="63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E40CDC">
        <w:rPr>
          <w:rFonts w:eastAsia="Times New Roman" w:cs="Times New Roman"/>
          <w:bCs/>
          <w:lang w:eastAsia="ru-RU"/>
        </w:rPr>
        <w:t>Financial Conduct Authority ((FCA).</w:t>
      </w:r>
    </w:p>
    <w:p w14:paraId="3ABB8B3F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A9FBAF7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BaFin осуществляет надзо</w:t>
      </w:r>
      <w:r>
        <w:rPr>
          <w:rFonts w:eastAsia="Times New Roman" w:cs="Times New Roman"/>
          <w:bCs/>
          <w:lang w:eastAsia="ru-RU"/>
        </w:rPr>
        <w:t>р за фондовым рынком в Германии</w:t>
      </w:r>
    </w:p>
    <w:p w14:paraId="5CD49C9A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8FBC351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«Yankee» – это</w:t>
      </w:r>
      <w:r>
        <w:rPr>
          <w:rFonts w:eastAsia="Times New Roman" w:cs="Times New Roman"/>
          <w:bCs/>
          <w:lang w:eastAsia="ru-RU"/>
        </w:rPr>
        <w:t xml:space="preserve"> о</w:t>
      </w:r>
      <w:r w:rsidRPr="00753A1F">
        <w:rPr>
          <w:rFonts w:eastAsia="Times New Roman" w:cs="Times New Roman"/>
          <w:bCs/>
          <w:lang w:eastAsia="ru-RU"/>
        </w:rPr>
        <w:t>блигации неамериканских эмитентов, обращающиеся на рынке США</w:t>
      </w:r>
    </w:p>
    <w:p w14:paraId="5D80BFA8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F4589F1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«Samurai» – это</w:t>
      </w:r>
      <w:r>
        <w:rPr>
          <w:rFonts w:eastAsia="Times New Roman" w:cs="Times New Roman"/>
          <w:bCs/>
          <w:lang w:eastAsia="ru-RU"/>
        </w:rPr>
        <w:t xml:space="preserve"> о</w:t>
      </w:r>
      <w:r w:rsidRPr="00753A1F">
        <w:rPr>
          <w:rFonts w:eastAsia="Times New Roman" w:cs="Times New Roman"/>
          <w:bCs/>
          <w:lang w:eastAsia="ru-RU"/>
        </w:rPr>
        <w:t>блигации нерезидентов, обращающиеся на японском рынке</w:t>
      </w:r>
    </w:p>
    <w:p w14:paraId="37A19BBE" w14:textId="77777777" w:rsidR="001326DB" w:rsidRPr="00C64A99" w:rsidRDefault="001326DB" w:rsidP="00C64A99">
      <w:pPr>
        <w:spacing w:after="0" w:line="23" w:lineRule="atLeast"/>
        <w:jc w:val="both"/>
      </w:pPr>
    </w:p>
    <w:p w14:paraId="4DE088B0" w14:textId="70D943C8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Г</w:t>
      </w:r>
      <w:r w:rsidRPr="00753A1F">
        <w:rPr>
          <w:rFonts w:eastAsia="Times New Roman" w:cs="Times New Roman"/>
          <w:bCs/>
          <w:lang w:eastAsia="ru-RU"/>
        </w:rPr>
        <w:t>осударственные облигации Великобритании, привязанные к инфляции (index-linked gilts</w:t>
      </w:r>
      <w:r>
        <w:rPr>
          <w:rFonts w:eastAsia="Times New Roman" w:cs="Times New Roman"/>
          <w:bCs/>
          <w:lang w:eastAsia="ru-RU"/>
        </w:rPr>
        <w:t>) -и</w:t>
      </w:r>
      <w:r w:rsidR="00B71F69">
        <w:rPr>
          <w:rFonts w:eastAsia="Times New Roman" w:cs="Times New Roman"/>
          <w:bCs/>
          <w:lang w:eastAsia="ru-RU"/>
        </w:rPr>
        <w:t>зменяющиеся номинал и купон</w:t>
      </w:r>
      <w:r w:rsidRPr="00753A1F">
        <w:rPr>
          <w:rFonts w:eastAsia="Times New Roman" w:cs="Times New Roman"/>
          <w:bCs/>
          <w:lang w:eastAsia="ru-RU"/>
        </w:rPr>
        <w:t>, привязанные к индексу потребительских цен</w:t>
      </w:r>
    </w:p>
    <w:p w14:paraId="39E89869" w14:textId="77777777" w:rsidR="001326DB" w:rsidRPr="00C64A99" w:rsidRDefault="001326DB" w:rsidP="00C64A99">
      <w:pPr>
        <w:spacing w:after="0" w:line="23" w:lineRule="atLeast"/>
        <w:jc w:val="both"/>
      </w:pPr>
    </w:p>
    <w:p w14:paraId="13AB35DA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Ф</w:t>
      </w:r>
      <w:r w:rsidRPr="00753A1F">
        <w:rPr>
          <w:rFonts w:eastAsia="Times New Roman" w:cs="Times New Roman"/>
          <w:bCs/>
          <w:lang w:eastAsia="ru-RU"/>
        </w:rPr>
        <w:t>едеральные долгосрочные облигации Германии</w:t>
      </w:r>
      <w:r>
        <w:rPr>
          <w:rFonts w:eastAsia="Times New Roman" w:cs="Times New Roman"/>
          <w:bCs/>
          <w:lang w:eastAsia="ru-RU"/>
        </w:rPr>
        <w:t xml:space="preserve"> - </w:t>
      </w:r>
      <w:r w:rsidRPr="00753A1F">
        <w:rPr>
          <w:rFonts w:eastAsia="Times New Roman" w:cs="Times New Roman"/>
          <w:bCs/>
          <w:lang w:eastAsia="ru-RU"/>
        </w:rPr>
        <w:t>Bunds</w:t>
      </w:r>
    </w:p>
    <w:p w14:paraId="62BA693C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4640481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Банковские облигации преобладают на рынке германских негосударст</w:t>
      </w:r>
      <w:r>
        <w:rPr>
          <w:rFonts w:eastAsia="Times New Roman" w:cs="Times New Roman"/>
          <w:bCs/>
          <w:lang w:eastAsia="ru-RU"/>
        </w:rPr>
        <w:t>венных облигаций</w:t>
      </w:r>
    </w:p>
    <w:p w14:paraId="2C0D9D4F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158AE6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Немецкие облигации pfandbriefe выпускаются д</w:t>
      </w:r>
      <w:r w:rsidRPr="00753A1F">
        <w:rPr>
          <w:rFonts w:eastAsia="Times New Roman" w:cs="Times New Roman"/>
          <w:bCs/>
          <w:lang w:eastAsia="ru-RU"/>
        </w:rPr>
        <w:t>ля финансирования ипотечных кредитов и правительств земель</w:t>
      </w:r>
    </w:p>
    <w:p w14:paraId="670B0092" w14:textId="77777777" w:rsidR="001326DB" w:rsidRPr="00C64A99" w:rsidRDefault="001326DB" w:rsidP="00C64A99">
      <w:pPr>
        <w:spacing w:after="0" w:line="23" w:lineRule="atLeast"/>
        <w:jc w:val="both"/>
      </w:pPr>
    </w:p>
    <w:p w14:paraId="2C21D99A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В США рынок муниципальных облигаций наиболее развит (как доля муниципальных бумаг в об</w:t>
      </w:r>
      <w:r>
        <w:rPr>
          <w:rFonts w:eastAsia="Times New Roman" w:cs="Times New Roman"/>
          <w:bCs/>
          <w:lang w:eastAsia="ru-RU"/>
        </w:rPr>
        <w:t>щем объеме обращающегося долга)</w:t>
      </w:r>
    </w:p>
    <w:p w14:paraId="29A5A663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2ECFBB4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О</w:t>
      </w:r>
      <w:r w:rsidRPr="00753A1F">
        <w:rPr>
          <w:rFonts w:eastAsia="Times New Roman" w:cs="Times New Roman"/>
          <w:bCs/>
          <w:lang w:eastAsia="ru-RU"/>
        </w:rPr>
        <w:t>собенности рынка амери</w:t>
      </w:r>
      <w:r>
        <w:rPr>
          <w:rFonts w:eastAsia="Times New Roman" w:cs="Times New Roman"/>
          <w:bCs/>
          <w:lang w:eastAsia="ru-RU"/>
        </w:rPr>
        <w:t>канских муниципальных облигаций:</w:t>
      </w:r>
    </w:p>
    <w:p w14:paraId="68811D20" w14:textId="77777777" w:rsidR="001326DB" w:rsidRPr="00D569B0" w:rsidRDefault="001326DB" w:rsidP="00C64A99">
      <w:pPr>
        <w:pStyle w:val="a9"/>
        <w:numPr>
          <w:ilvl w:val="0"/>
          <w:numId w:val="6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D569B0">
        <w:rPr>
          <w:rFonts w:eastAsia="Times New Roman" w:cs="Times New Roman"/>
          <w:bCs/>
          <w:lang w:eastAsia="ru-RU"/>
        </w:rPr>
        <w:t>Особый налоговый режим;</w:t>
      </w:r>
    </w:p>
    <w:p w14:paraId="3C4754AE" w14:textId="77777777" w:rsidR="001326DB" w:rsidRPr="00D569B0" w:rsidRDefault="001326DB" w:rsidP="00C64A99">
      <w:pPr>
        <w:pStyle w:val="a9"/>
        <w:numPr>
          <w:ilvl w:val="0"/>
          <w:numId w:val="6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D569B0">
        <w:rPr>
          <w:rFonts w:eastAsia="Times New Roman" w:cs="Times New Roman"/>
          <w:bCs/>
          <w:lang w:eastAsia="ru-RU"/>
        </w:rPr>
        <w:t>Фрагментарность рынка;</w:t>
      </w:r>
    </w:p>
    <w:p w14:paraId="17885AF3" w14:textId="77777777" w:rsidR="001326DB" w:rsidRPr="00D569B0" w:rsidRDefault="001326DB" w:rsidP="00C64A99">
      <w:pPr>
        <w:pStyle w:val="a9"/>
        <w:numPr>
          <w:ilvl w:val="0"/>
          <w:numId w:val="6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D569B0">
        <w:rPr>
          <w:rFonts w:eastAsia="Times New Roman" w:cs="Times New Roman"/>
          <w:bCs/>
          <w:lang w:eastAsia="ru-RU"/>
        </w:rPr>
        <w:t>Преобладание среди инвесторов физических лиц, страховых компаний и инвестиционных фондов;</w:t>
      </w:r>
    </w:p>
    <w:p w14:paraId="6515D78B" w14:textId="77777777" w:rsidR="001326DB" w:rsidRPr="00D569B0" w:rsidRDefault="001326DB" w:rsidP="00C64A99">
      <w:pPr>
        <w:pStyle w:val="a9"/>
        <w:numPr>
          <w:ilvl w:val="0"/>
          <w:numId w:val="65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D569B0">
        <w:rPr>
          <w:rFonts w:eastAsia="Times New Roman" w:cs="Times New Roman"/>
          <w:bCs/>
          <w:lang w:eastAsia="ru-RU"/>
        </w:rPr>
        <w:t>Большая часть выпусков муниципальных облигаций связана с финансированием конкретных инвестиционных проектов (revenue bonds);</w:t>
      </w:r>
    </w:p>
    <w:p w14:paraId="78FCA774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F771206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С</w:t>
      </w:r>
      <w:r w:rsidRPr="00753A1F">
        <w:rPr>
          <w:rFonts w:eastAsia="Times New Roman" w:cs="Times New Roman"/>
          <w:bCs/>
          <w:lang w:eastAsia="ru-RU"/>
        </w:rPr>
        <w:t>рок обращения казначейских векселей (Treasury bills) на фондовом рынке США</w:t>
      </w:r>
      <w:r>
        <w:rPr>
          <w:rFonts w:eastAsia="Times New Roman" w:cs="Times New Roman"/>
          <w:bCs/>
          <w:lang w:eastAsia="ru-RU"/>
        </w:rPr>
        <w:t xml:space="preserve"> н</w:t>
      </w:r>
      <w:r w:rsidRPr="00753A1F">
        <w:rPr>
          <w:rFonts w:eastAsia="Times New Roman" w:cs="Times New Roman"/>
          <w:bCs/>
          <w:lang w:eastAsia="ru-RU"/>
        </w:rPr>
        <w:t>е более 1 года</w:t>
      </w:r>
    </w:p>
    <w:p w14:paraId="15FB7122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A2FF00E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С</w:t>
      </w:r>
      <w:r w:rsidRPr="00753A1F">
        <w:rPr>
          <w:rFonts w:eastAsia="Times New Roman" w:cs="Times New Roman"/>
          <w:bCs/>
          <w:lang w:eastAsia="ru-RU"/>
        </w:rPr>
        <w:t>рок обращения казначейских нот (Treasury notes) на фондовом рынке США</w:t>
      </w:r>
      <w:r>
        <w:rPr>
          <w:rFonts w:eastAsia="Times New Roman" w:cs="Times New Roman"/>
          <w:bCs/>
          <w:lang w:eastAsia="ru-RU"/>
        </w:rPr>
        <w:t xml:space="preserve"> о</w:t>
      </w:r>
      <w:r w:rsidRPr="00753A1F">
        <w:rPr>
          <w:rFonts w:eastAsia="Times New Roman" w:cs="Times New Roman"/>
          <w:bCs/>
          <w:lang w:eastAsia="ru-RU"/>
        </w:rPr>
        <w:t>т 1 года до 10 лет</w:t>
      </w:r>
    </w:p>
    <w:p w14:paraId="4C192699" w14:textId="77777777" w:rsidR="001326DB" w:rsidRPr="00C64A99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BEA896E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T - bonds – это</w:t>
      </w:r>
      <w:r>
        <w:rPr>
          <w:rFonts w:eastAsia="Times New Roman" w:cs="Times New Roman"/>
          <w:bCs/>
          <w:lang w:eastAsia="ru-RU"/>
        </w:rPr>
        <w:t xml:space="preserve"> д</w:t>
      </w:r>
      <w:r w:rsidRPr="00753A1F">
        <w:rPr>
          <w:rFonts w:eastAsia="Times New Roman" w:cs="Times New Roman"/>
          <w:bCs/>
          <w:lang w:eastAsia="ru-RU"/>
        </w:rPr>
        <w:t>олгосрочные казначейские облигации США сроком более10 лет</w:t>
      </w:r>
    </w:p>
    <w:p w14:paraId="6FA73699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CE66C5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О</w:t>
      </w:r>
      <w:r w:rsidRPr="00753A1F">
        <w:rPr>
          <w:rFonts w:eastAsia="Times New Roman" w:cs="Times New Roman"/>
          <w:bCs/>
          <w:lang w:eastAsia="ru-RU"/>
        </w:rPr>
        <w:t>сн</w:t>
      </w:r>
      <w:r>
        <w:rPr>
          <w:rFonts w:eastAsia="Times New Roman" w:cs="Times New Roman"/>
          <w:bCs/>
          <w:lang w:eastAsia="ru-RU"/>
        </w:rPr>
        <w:t>овная часть рыночного долга США приходится на с</w:t>
      </w:r>
      <w:r w:rsidRPr="00753A1F">
        <w:rPr>
          <w:rFonts w:eastAsia="Times New Roman" w:cs="Times New Roman"/>
          <w:bCs/>
          <w:lang w:eastAsia="ru-RU"/>
        </w:rPr>
        <w:t>реднесрочные казначейские облигации США до 10 лет</w:t>
      </w:r>
    </w:p>
    <w:p w14:paraId="2ED62616" w14:textId="77777777" w:rsidR="001326DB" w:rsidRPr="00C64A99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87FD88E" w14:textId="77777777" w:rsidR="001326DB" w:rsidRPr="00D569B0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D569B0">
        <w:rPr>
          <w:rFonts w:eastAsia="Times New Roman" w:cs="Times New Roman"/>
          <w:bCs/>
          <w:i/>
          <w:lang w:eastAsia="ru-RU"/>
        </w:rPr>
        <w:lastRenderedPageBreak/>
        <w:t>Пример</w:t>
      </w:r>
    </w:p>
    <w:p w14:paraId="0BA3B321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D569B0">
        <w:rPr>
          <w:rFonts w:eastAsia="Times New Roman" w:cs="Times New Roman"/>
          <w:bCs/>
          <w:i/>
          <w:lang w:eastAsia="ru-RU"/>
        </w:rPr>
        <w:t>Рассчитайте курсовую стоимость T-bonds в долларах при номинале в $ 1000 при котировке</w:t>
      </w:r>
    </w:p>
    <w:p w14:paraId="221BAFEA" w14:textId="77777777" w:rsidR="001326DB" w:rsidRPr="00D569B0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D569B0">
        <w:rPr>
          <w:rFonts w:eastAsia="Times New Roman" w:cs="Times New Roman"/>
          <w:bCs/>
          <w:i/>
          <w:lang w:eastAsia="ru-RU"/>
        </w:rPr>
        <w:t>98 : 4.</w:t>
      </w:r>
    </w:p>
    <w:p w14:paraId="1B385CF5" w14:textId="77777777" w:rsidR="001326DB" w:rsidRPr="00D569B0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D569B0">
        <w:rPr>
          <w:rFonts w:eastAsia="Times New Roman" w:cs="Times New Roman"/>
          <w:bCs/>
          <w:i/>
          <w:lang w:val="en-US" w:eastAsia="ru-RU"/>
        </w:rPr>
        <w:t>T</w:t>
      </w:r>
      <w:r w:rsidRPr="00D569B0">
        <w:rPr>
          <w:rFonts w:eastAsia="Times New Roman" w:cs="Times New Roman"/>
          <w:bCs/>
          <w:i/>
          <w:lang w:eastAsia="ru-RU"/>
        </w:rPr>
        <w:t>-</w:t>
      </w:r>
      <w:r w:rsidRPr="00D569B0">
        <w:rPr>
          <w:rFonts w:eastAsia="Times New Roman" w:cs="Times New Roman"/>
          <w:bCs/>
          <w:i/>
          <w:lang w:val="en-US" w:eastAsia="ru-RU"/>
        </w:rPr>
        <w:t>bond</w:t>
      </w:r>
      <w:r w:rsidRPr="00D569B0">
        <w:rPr>
          <w:rFonts w:eastAsia="Times New Roman" w:cs="Times New Roman"/>
          <w:bCs/>
          <w:i/>
          <w:lang w:eastAsia="ru-RU"/>
        </w:rPr>
        <w:t xml:space="preserve"> = 1000 * ( (98 + 4 / 32) / 100) = 981,25</w:t>
      </w:r>
    </w:p>
    <w:p w14:paraId="5C52D847" w14:textId="77777777" w:rsidR="001326DB" w:rsidRPr="00C64A99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13FFB40" w14:textId="77777777" w:rsidR="001326DB" w:rsidRPr="00D569B0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D569B0">
        <w:rPr>
          <w:rFonts w:eastAsia="Times New Roman" w:cs="Times New Roman"/>
          <w:bCs/>
          <w:i/>
          <w:lang w:eastAsia="ru-RU"/>
        </w:rPr>
        <w:t>T-bill с номиналом в 10 000 долларов и с погашением через 120 дней котируются по 1,6 % и 1,5%. База – 360 дней. Определите цену cпроса и предложения по этой облигации (в долларах СШA), с округлением до целого.</w:t>
      </w:r>
    </w:p>
    <w:p w14:paraId="3E96AFD3" w14:textId="77777777" w:rsidR="001326DB" w:rsidRPr="00D569B0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D569B0">
        <w:rPr>
          <w:rFonts w:eastAsia="Times New Roman" w:cs="Times New Roman"/>
          <w:bCs/>
          <w:i/>
          <w:lang w:eastAsia="ru-RU"/>
        </w:rPr>
        <w:t xml:space="preserve">Цена спроса = 10 000 * (1 – 0,016 * 120 / 360) = 9946,67 долл. </w:t>
      </w:r>
    </w:p>
    <w:p w14:paraId="35E408F2" w14:textId="77777777" w:rsidR="001326DB" w:rsidRPr="00D569B0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D569B0">
        <w:rPr>
          <w:rFonts w:eastAsia="Times New Roman" w:cs="Times New Roman"/>
          <w:bCs/>
          <w:i/>
          <w:lang w:eastAsia="ru-RU"/>
        </w:rPr>
        <w:t>Цена предложения =  10 000 * (1 – 0,015 * 120 / 360) = 9950 долл.</w:t>
      </w:r>
    </w:p>
    <w:p w14:paraId="0865531F" w14:textId="77777777" w:rsidR="001326DB" w:rsidRPr="00B71F69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F8C7AE1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Коммерческие бумаги (по законодательству СШA) – это</w:t>
      </w:r>
      <w:r>
        <w:rPr>
          <w:rFonts w:eastAsia="Times New Roman" w:cs="Times New Roman"/>
          <w:bCs/>
          <w:lang w:eastAsia="ru-RU"/>
        </w:rPr>
        <w:t xml:space="preserve"> в</w:t>
      </w:r>
      <w:r w:rsidRPr="00753A1F">
        <w:rPr>
          <w:rFonts w:eastAsia="Times New Roman" w:cs="Times New Roman"/>
          <w:bCs/>
          <w:lang w:eastAsia="ru-RU"/>
        </w:rPr>
        <w:t>ысокономинальные долговые бумаги (простые векселя), выпускаемые корпорациями на срок до 270 дней без государственной регистрации</w:t>
      </w:r>
    </w:p>
    <w:p w14:paraId="5B52DC88" w14:textId="77777777" w:rsidR="001326DB" w:rsidRPr="00C64A99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4E34299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Коммерческие бумаги в США:</w:t>
      </w:r>
    </w:p>
    <w:p w14:paraId="6D7E9E5A" w14:textId="77777777" w:rsidR="001326DB" w:rsidRPr="00955894" w:rsidRDefault="001326DB" w:rsidP="00C64A99">
      <w:pPr>
        <w:pStyle w:val="a9"/>
        <w:numPr>
          <w:ilvl w:val="0"/>
          <w:numId w:val="6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5894">
        <w:rPr>
          <w:rFonts w:eastAsia="Times New Roman" w:cs="Times New Roman"/>
          <w:bCs/>
          <w:lang w:eastAsia="ru-RU"/>
        </w:rPr>
        <w:t>Не требуется регистрация проспекта эмиссии у регулятора;</w:t>
      </w:r>
    </w:p>
    <w:p w14:paraId="2D8DDA6F" w14:textId="77777777" w:rsidR="001326DB" w:rsidRPr="00955894" w:rsidRDefault="001326DB" w:rsidP="00C64A99">
      <w:pPr>
        <w:pStyle w:val="a9"/>
        <w:numPr>
          <w:ilvl w:val="0"/>
          <w:numId w:val="6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5894">
        <w:rPr>
          <w:rFonts w:eastAsia="Times New Roman" w:cs="Times New Roman"/>
          <w:bCs/>
          <w:lang w:eastAsia="ru-RU"/>
        </w:rPr>
        <w:t>Короткий срок обращения (до 270 дней);</w:t>
      </w:r>
    </w:p>
    <w:p w14:paraId="360191FE" w14:textId="77777777" w:rsidR="001326DB" w:rsidRPr="00955894" w:rsidRDefault="001326DB" w:rsidP="00C64A99">
      <w:pPr>
        <w:pStyle w:val="a9"/>
        <w:numPr>
          <w:ilvl w:val="0"/>
          <w:numId w:val="6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5894">
        <w:rPr>
          <w:rFonts w:eastAsia="Times New Roman" w:cs="Times New Roman"/>
          <w:bCs/>
          <w:lang w:eastAsia="ru-RU"/>
        </w:rPr>
        <w:t>Размещаются среди ограниченного круга инвесторов;</w:t>
      </w:r>
    </w:p>
    <w:p w14:paraId="754A838E" w14:textId="77777777" w:rsidR="001326DB" w:rsidRPr="00955894" w:rsidRDefault="001326DB" w:rsidP="00C64A99">
      <w:pPr>
        <w:pStyle w:val="a9"/>
        <w:numPr>
          <w:ilvl w:val="0"/>
          <w:numId w:val="66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5894">
        <w:rPr>
          <w:rFonts w:eastAsia="Times New Roman" w:cs="Times New Roman"/>
          <w:bCs/>
          <w:lang w:eastAsia="ru-RU"/>
        </w:rPr>
        <w:t>Средства от размещения используются на текущие операции, на пополнение оборотного капитала.</w:t>
      </w:r>
    </w:p>
    <w:p w14:paraId="46A5C6F6" w14:textId="77777777" w:rsidR="001326DB" w:rsidRPr="00C64A99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0CEA641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Крупнейшими эмитентами MBS в США являются</w:t>
      </w:r>
      <w:r>
        <w:rPr>
          <w:rFonts w:eastAsia="Times New Roman" w:cs="Times New Roman"/>
          <w:bCs/>
          <w:lang w:eastAsia="ru-RU"/>
        </w:rPr>
        <w:t xml:space="preserve"> к</w:t>
      </w:r>
      <w:r w:rsidRPr="00753A1F">
        <w:rPr>
          <w:rFonts w:eastAsia="Times New Roman" w:cs="Times New Roman"/>
          <w:bCs/>
          <w:lang w:eastAsia="ru-RU"/>
        </w:rPr>
        <w:t>омпании Fannie Mae и Freddie Mac</w:t>
      </w:r>
    </w:p>
    <w:p w14:paraId="72CCF21D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B712EF5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«Мусорная облигация» (junk bond) –</w:t>
      </w:r>
      <w:r>
        <w:rPr>
          <w:rFonts w:eastAsia="Times New Roman" w:cs="Times New Roman"/>
          <w:bCs/>
          <w:lang w:eastAsia="ru-RU"/>
        </w:rPr>
        <w:t>о</w:t>
      </w:r>
      <w:r w:rsidRPr="00753A1F">
        <w:rPr>
          <w:rFonts w:eastAsia="Times New Roman" w:cs="Times New Roman"/>
          <w:bCs/>
          <w:lang w:eastAsia="ru-RU"/>
        </w:rPr>
        <w:t>блигация неинвестиционного класса</w:t>
      </w:r>
    </w:p>
    <w:p w14:paraId="0023408E" w14:textId="77777777" w:rsidR="001326DB" w:rsidRPr="00C64A99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3702901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Казначейские облигации США торгуются</w:t>
      </w:r>
      <w:r>
        <w:rPr>
          <w:rFonts w:eastAsia="Times New Roman" w:cs="Times New Roman"/>
          <w:bCs/>
          <w:lang w:eastAsia="ru-RU"/>
        </w:rPr>
        <w:t xml:space="preserve"> н</w:t>
      </w:r>
      <w:r w:rsidRPr="00753A1F">
        <w:rPr>
          <w:rFonts w:eastAsia="Times New Roman" w:cs="Times New Roman"/>
          <w:bCs/>
          <w:lang w:eastAsia="ru-RU"/>
        </w:rPr>
        <w:t>а внебиржевом рынке</w:t>
      </w:r>
    </w:p>
    <w:p w14:paraId="60E1E5A7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5341B2C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Американские корпоративные облигации торгуются</w:t>
      </w:r>
      <w:r>
        <w:rPr>
          <w:rFonts w:eastAsia="Times New Roman" w:cs="Times New Roman"/>
          <w:bCs/>
          <w:lang w:eastAsia="ru-RU"/>
        </w:rPr>
        <w:t xml:space="preserve"> н</w:t>
      </w:r>
      <w:r w:rsidRPr="00753A1F">
        <w:rPr>
          <w:rFonts w:eastAsia="Times New Roman" w:cs="Times New Roman"/>
          <w:bCs/>
          <w:lang w:eastAsia="ru-RU"/>
        </w:rPr>
        <w:t>а внебиржевом рынке</w:t>
      </w:r>
    </w:p>
    <w:p w14:paraId="4B034937" w14:textId="77777777" w:rsidR="001326DB" w:rsidRPr="00C64A99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81CA1D7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Д</w:t>
      </w:r>
      <w:r w:rsidRPr="00753A1F">
        <w:rPr>
          <w:rFonts w:eastAsia="Times New Roman" w:cs="Times New Roman"/>
          <w:bCs/>
          <w:lang w:eastAsia="ru-RU"/>
        </w:rPr>
        <w:t>олгосрочные государственные купонные облигации Франции</w:t>
      </w:r>
      <w:r>
        <w:rPr>
          <w:rFonts w:eastAsia="Times New Roman" w:cs="Times New Roman"/>
          <w:bCs/>
          <w:lang w:eastAsia="ru-RU"/>
        </w:rPr>
        <w:t xml:space="preserve"> - </w:t>
      </w:r>
      <w:r w:rsidRPr="00753A1F">
        <w:rPr>
          <w:rFonts w:eastAsia="Times New Roman" w:cs="Times New Roman"/>
          <w:bCs/>
          <w:lang w:eastAsia="ru-RU"/>
        </w:rPr>
        <w:t xml:space="preserve"> OAT (Obligations Assimilables du Trèsor)</w:t>
      </w:r>
    </w:p>
    <w:p w14:paraId="5D798D4B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B2E6E6F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</w:t>
      </w:r>
      <w:r w:rsidRPr="00753A1F">
        <w:rPr>
          <w:rFonts w:eastAsia="Times New Roman" w:cs="Times New Roman"/>
          <w:bCs/>
          <w:lang w:eastAsia="ru-RU"/>
        </w:rPr>
        <w:t>ри огромной величине государственного долга Японии (более 200% ВВП) эта проблема не так остра, как в странах, где величина государств</w:t>
      </w:r>
      <w:r>
        <w:rPr>
          <w:rFonts w:eastAsia="Times New Roman" w:cs="Times New Roman"/>
          <w:bCs/>
          <w:lang w:eastAsia="ru-RU"/>
        </w:rPr>
        <w:t>енного долга значительно меньше, по причинам:</w:t>
      </w:r>
    </w:p>
    <w:p w14:paraId="5F4F5949" w14:textId="77777777" w:rsidR="001326DB" w:rsidRPr="00415AD3" w:rsidRDefault="001326DB" w:rsidP="00C64A99">
      <w:pPr>
        <w:pStyle w:val="a9"/>
        <w:numPr>
          <w:ilvl w:val="0"/>
          <w:numId w:val="6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AD3">
        <w:rPr>
          <w:rFonts w:eastAsia="Times New Roman" w:cs="Times New Roman"/>
          <w:bCs/>
          <w:lang w:eastAsia="ru-RU"/>
        </w:rPr>
        <w:t>Почти весь долг находится у японских инвесторов;</w:t>
      </w:r>
    </w:p>
    <w:p w14:paraId="022131DF" w14:textId="77777777" w:rsidR="001326DB" w:rsidRPr="00415AD3" w:rsidRDefault="001326DB" w:rsidP="00C64A99">
      <w:pPr>
        <w:pStyle w:val="a9"/>
        <w:numPr>
          <w:ilvl w:val="0"/>
          <w:numId w:val="6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AD3">
        <w:rPr>
          <w:rFonts w:eastAsia="Times New Roman" w:cs="Times New Roman"/>
          <w:bCs/>
          <w:lang w:eastAsia="ru-RU"/>
        </w:rPr>
        <w:t>Низкий уровень процентных ставок, не вызывающий слишком большой нагрузки по обслуживанию долга;</w:t>
      </w:r>
    </w:p>
    <w:p w14:paraId="4E82DE26" w14:textId="77777777" w:rsidR="001326DB" w:rsidRPr="00415AD3" w:rsidRDefault="001326DB" w:rsidP="00C64A99">
      <w:pPr>
        <w:pStyle w:val="a9"/>
        <w:numPr>
          <w:ilvl w:val="0"/>
          <w:numId w:val="6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AD3">
        <w:rPr>
          <w:rFonts w:eastAsia="Times New Roman" w:cs="Times New Roman"/>
          <w:bCs/>
          <w:lang w:eastAsia="ru-RU"/>
        </w:rPr>
        <w:t>Правительство Японии обладает большими резервами, благодаря чему чистый долг (нетто) значительно ниже;</w:t>
      </w:r>
    </w:p>
    <w:p w14:paraId="0D91431C" w14:textId="77777777" w:rsidR="001326DB" w:rsidRPr="00415AD3" w:rsidRDefault="001326DB" w:rsidP="00C64A99">
      <w:pPr>
        <w:pStyle w:val="a9"/>
        <w:numPr>
          <w:ilvl w:val="0"/>
          <w:numId w:val="6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AD3">
        <w:rPr>
          <w:rFonts w:eastAsia="Times New Roman" w:cs="Times New Roman"/>
          <w:bCs/>
          <w:lang w:eastAsia="ru-RU"/>
        </w:rPr>
        <w:t>Мощный экономический и научно-технический потенциал Японии.</w:t>
      </w:r>
    </w:p>
    <w:p w14:paraId="18C8317C" w14:textId="77777777" w:rsidR="001326DB" w:rsidRPr="00C64A99" w:rsidRDefault="001326DB" w:rsidP="00C64A99">
      <w:pPr>
        <w:spacing w:after="0" w:line="23" w:lineRule="atLeast"/>
        <w:jc w:val="both"/>
      </w:pPr>
    </w:p>
    <w:p w14:paraId="531F313F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На фондовых биржах США (stock exchanges) ведется торговля</w:t>
      </w:r>
      <w:r>
        <w:rPr>
          <w:rFonts w:eastAsia="Times New Roman" w:cs="Times New Roman"/>
          <w:bCs/>
          <w:lang w:eastAsia="ru-RU"/>
        </w:rPr>
        <w:t xml:space="preserve"> в</w:t>
      </w:r>
      <w:r w:rsidRPr="00753A1F">
        <w:rPr>
          <w:rFonts w:eastAsia="Times New Roman" w:cs="Times New Roman"/>
          <w:bCs/>
          <w:lang w:eastAsia="ru-RU"/>
        </w:rPr>
        <w:t xml:space="preserve"> основном акциями;</w:t>
      </w:r>
    </w:p>
    <w:p w14:paraId="6EB11780" w14:textId="77777777" w:rsidR="001326DB" w:rsidRPr="00C64A99" w:rsidRDefault="001326DB" w:rsidP="00C64A99">
      <w:pPr>
        <w:spacing w:after="0" w:line="23" w:lineRule="atLeast"/>
        <w:jc w:val="both"/>
      </w:pPr>
    </w:p>
    <w:p w14:paraId="1ADF6CA2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NYSE и NASDAQ:</w:t>
      </w:r>
    </w:p>
    <w:p w14:paraId="08574252" w14:textId="77777777" w:rsidR="001326DB" w:rsidRPr="00415AD3" w:rsidRDefault="001326DB" w:rsidP="00C64A99">
      <w:pPr>
        <w:pStyle w:val="a9"/>
        <w:numPr>
          <w:ilvl w:val="0"/>
          <w:numId w:val="6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AD3">
        <w:rPr>
          <w:rFonts w:eastAsia="Times New Roman" w:cs="Times New Roman"/>
          <w:bCs/>
          <w:lang w:eastAsia="ru-RU"/>
        </w:rPr>
        <w:t>Капитализация NYSE больше, чем NASDAQ;</w:t>
      </w:r>
    </w:p>
    <w:p w14:paraId="1697F180" w14:textId="77777777" w:rsidR="001326DB" w:rsidRPr="00415AD3" w:rsidRDefault="001326DB" w:rsidP="00C64A99">
      <w:pPr>
        <w:pStyle w:val="a9"/>
        <w:numPr>
          <w:ilvl w:val="0"/>
          <w:numId w:val="6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AD3">
        <w:rPr>
          <w:rFonts w:eastAsia="Times New Roman" w:cs="Times New Roman"/>
          <w:bCs/>
          <w:lang w:eastAsia="ru-RU"/>
        </w:rPr>
        <w:t>NASDAQ – рынок продвижения котировок (quote-driven);</w:t>
      </w:r>
    </w:p>
    <w:p w14:paraId="7AAD61BB" w14:textId="77777777" w:rsidR="001326DB" w:rsidRPr="00C64A99" w:rsidRDefault="001326DB" w:rsidP="00C64A99">
      <w:pPr>
        <w:spacing w:after="0" w:line="23" w:lineRule="atLeast"/>
        <w:jc w:val="both"/>
      </w:pPr>
    </w:p>
    <w:p w14:paraId="688B42D6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Н</w:t>
      </w:r>
      <w:r w:rsidRPr="00753A1F">
        <w:rPr>
          <w:rFonts w:eastAsia="Times New Roman" w:cs="Times New Roman"/>
          <w:bCs/>
          <w:lang w:eastAsia="ru-RU"/>
        </w:rPr>
        <w:t>а американском фондовом рынке</w:t>
      </w:r>
      <w:r>
        <w:rPr>
          <w:rFonts w:eastAsia="Times New Roman" w:cs="Times New Roman"/>
          <w:bCs/>
          <w:lang w:eastAsia="ru-RU"/>
        </w:rPr>
        <w:t xml:space="preserve"> существует е</w:t>
      </w:r>
      <w:r w:rsidRPr="00753A1F">
        <w:rPr>
          <w:rFonts w:eastAsia="Times New Roman" w:cs="Times New Roman"/>
          <w:bCs/>
          <w:lang w:eastAsia="ru-RU"/>
        </w:rPr>
        <w:t>диная депозитарная система Depository Trust and Clearing Corporation (Депозитарная Трастовая и Клиринговая корпорация)</w:t>
      </w:r>
    </w:p>
    <w:p w14:paraId="418FE7FB" w14:textId="77777777" w:rsidR="001326DB" w:rsidRPr="00C64A99" w:rsidRDefault="001326DB" w:rsidP="00C64A99">
      <w:pPr>
        <w:spacing w:after="0" w:line="23" w:lineRule="atLeast"/>
        <w:jc w:val="both"/>
      </w:pPr>
    </w:p>
    <w:p w14:paraId="48C352A9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В США «Series 7</w:t>
      </w:r>
      <w:r>
        <w:rPr>
          <w:rFonts w:eastAsia="Times New Roman" w:cs="Times New Roman"/>
          <w:bCs/>
          <w:lang w:eastAsia="ru-RU"/>
        </w:rPr>
        <w:t>» п</w:t>
      </w:r>
      <w:r w:rsidRPr="00753A1F">
        <w:rPr>
          <w:rFonts w:eastAsia="Times New Roman" w:cs="Times New Roman"/>
          <w:bCs/>
          <w:lang w:eastAsia="ru-RU"/>
        </w:rPr>
        <w:t>рофессиональный экзамен для служащих брокерско-дилерских фирм</w:t>
      </w:r>
    </w:p>
    <w:p w14:paraId="08470C5E" w14:textId="77777777" w:rsidR="001326DB" w:rsidRPr="00C64A99" w:rsidRDefault="001326DB" w:rsidP="00C64A99">
      <w:pPr>
        <w:spacing w:after="0" w:line="23" w:lineRule="atLeast"/>
        <w:jc w:val="both"/>
      </w:pPr>
    </w:p>
    <w:p w14:paraId="28B22600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 повышении</w:t>
      </w:r>
      <w:r w:rsidRPr="00753A1F">
        <w:rPr>
          <w:rFonts w:eastAsia="Times New Roman" w:cs="Times New Roman"/>
          <w:bCs/>
          <w:lang w:eastAsia="ru-RU"/>
        </w:rPr>
        <w:t xml:space="preserve"> Правлением ФРС целев</w:t>
      </w:r>
      <w:r>
        <w:rPr>
          <w:rFonts w:eastAsia="Times New Roman" w:cs="Times New Roman"/>
          <w:bCs/>
          <w:lang w:eastAsia="ru-RU"/>
        </w:rPr>
        <w:t>ой ставки по федеральным фондам:</w:t>
      </w:r>
    </w:p>
    <w:p w14:paraId="55689C26" w14:textId="77777777" w:rsidR="001326DB" w:rsidRPr="008E45A1" w:rsidRDefault="001326DB" w:rsidP="00C64A99">
      <w:pPr>
        <w:pStyle w:val="a9"/>
        <w:numPr>
          <w:ilvl w:val="0"/>
          <w:numId w:val="6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8E45A1">
        <w:rPr>
          <w:rFonts w:eastAsia="Times New Roman" w:cs="Times New Roman"/>
          <w:bCs/>
          <w:lang w:eastAsia="ru-RU"/>
        </w:rPr>
        <w:t>Цены облигаций понизятся;</w:t>
      </w:r>
    </w:p>
    <w:p w14:paraId="293B48F4" w14:textId="77777777" w:rsidR="001326DB" w:rsidRPr="008E45A1" w:rsidRDefault="001326DB" w:rsidP="00C64A99">
      <w:pPr>
        <w:pStyle w:val="a9"/>
        <w:numPr>
          <w:ilvl w:val="0"/>
          <w:numId w:val="6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8E45A1">
        <w:rPr>
          <w:rFonts w:eastAsia="Times New Roman" w:cs="Times New Roman"/>
          <w:bCs/>
          <w:lang w:eastAsia="ru-RU"/>
        </w:rPr>
        <w:t>Цены</w:t>
      </w:r>
      <w:bookmarkStart w:id="0" w:name="_GoBack"/>
      <w:bookmarkEnd w:id="0"/>
      <w:r w:rsidRPr="008E45A1">
        <w:rPr>
          <w:rFonts w:eastAsia="Times New Roman" w:cs="Times New Roman"/>
          <w:bCs/>
          <w:lang w:eastAsia="ru-RU"/>
        </w:rPr>
        <w:t xml:space="preserve"> акций понизятся.</w:t>
      </w:r>
    </w:p>
    <w:p w14:paraId="626A88BD" w14:textId="77777777" w:rsidR="001326DB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C0C9B2B" w14:textId="77777777" w:rsidR="001326DB" w:rsidRPr="00753A1F" w:rsidRDefault="001326DB" w:rsidP="00C64A99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753A1F">
        <w:rPr>
          <w:rFonts w:eastAsia="Times New Roman" w:cs="Times New Roman"/>
          <w:bCs/>
          <w:lang w:eastAsia="ru-RU"/>
        </w:rPr>
        <w:t>В Китае:</w:t>
      </w:r>
    </w:p>
    <w:p w14:paraId="7AA998A9" w14:textId="77777777" w:rsidR="001326DB" w:rsidRPr="00415AD3" w:rsidRDefault="001326DB" w:rsidP="00C64A99">
      <w:pPr>
        <w:pStyle w:val="a9"/>
        <w:numPr>
          <w:ilvl w:val="0"/>
          <w:numId w:val="70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AD3">
        <w:rPr>
          <w:rFonts w:eastAsia="Times New Roman" w:cs="Times New Roman"/>
          <w:bCs/>
          <w:lang w:eastAsia="ru-RU"/>
        </w:rPr>
        <w:t>Большая часть акционерного капитала (по капитализации) представлена акциями класса А и Н;</w:t>
      </w:r>
    </w:p>
    <w:p w14:paraId="575275A4" w14:textId="77777777" w:rsidR="001326DB" w:rsidRPr="00415AD3" w:rsidRDefault="001326DB" w:rsidP="00C64A99">
      <w:pPr>
        <w:pStyle w:val="a9"/>
        <w:numPr>
          <w:ilvl w:val="0"/>
          <w:numId w:val="70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AD3">
        <w:rPr>
          <w:rFonts w:eastAsia="Times New Roman" w:cs="Times New Roman"/>
          <w:bCs/>
          <w:lang w:eastAsia="ru-RU"/>
        </w:rPr>
        <w:t>Большая часть оборота акциями приходится на физических лиц;</w:t>
      </w:r>
    </w:p>
    <w:p w14:paraId="1178044D" w14:textId="77777777" w:rsidR="001326DB" w:rsidRPr="00415AD3" w:rsidRDefault="001326DB" w:rsidP="00C64A99">
      <w:pPr>
        <w:pStyle w:val="a9"/>
        <w:numPr>
          <w:ilvl w:val="0"/>
          <w:numId w:val="70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AD3">
        <w:rPr>
          <w:rFonts w:eastAsia="Times New Roman" w:cs="Times New Roman"/>
          <w:bCs/>
          <w:lang w:eastAsia="ru-RU"/>
        </w:rPr>
        <w:t>Большая часть китайский компаний выпустила только акции класса A.</w:t>
      </w:r>
    </w:p>
    <w:p w14:paraId="23397441" w14:textId="7946A51D" w:rsidR="00EB5AC1" w:rsidRDefault="00EB5AC1" w:rsidP="001326DB">
      <w:pPr>
        <w:spacing w:after="0" w:line="23" w:lineRule="atLeast"/>
      </w:pPr>
    </w:p>
    <w:p w14:paraId="6E2DAC8A" w14:textId="77777777" w:rsidR="00EB5AC1" w:rsidRDefault="00EB5AC1" w:rsidP="00EB5AC1">
      <w:pPr>
        <w:spacing w:after="0" w:line="23" w:lineRule="atLeast"/>
      </w:pPr>
    </w:p>
    <w:p w14:paraId="69411C8C" w14:textId="6084C72D" w:rsidR="00EB5AC1" w:rsidRPr="00EB5AC1" w:rsidRDefault="00C64A99" w:rsidP="00EB5AC1">
      <w:pPr>
        <w:spacing w:after="0" w:line="23" w:lineRule="atLeast"/>
        <w:jc w:val="center"/>
        <w:rPr>
          <w:b/>
        </w:rPr>
      </w:pPr>
      <w:r>
        <w:rPr>
          <w:b/>
        </w:rPr>
        <w:t>Тема 8</w:t>
      </w:r>
      <w:r w:rsidR="00EB5AC1" w:rsidRPr="00EB5AC1">
        <w:rPr>
          <w:b/>
        </w:rPr>
        <w:t>.4. Зарубежный опыт регулирования финансовых посредников</w:t>
      </w:r>
    </w:p>
    <w:p w14:paraId="17D10C64" w14:textId="77777777" w:rsidR="00EB5AC1" w:rsidRDefault="00EB5AC1" w:rsidP="00EB5AC1">
      <w:pPr>
        <w:spacing w:after="0" w:line="23" w:lineRule="atLeast"/>
      </w:pPr>
    </w:p>
    <w:p w14:paraId="49D503DD" w14:textId="77777777" w:rsidR="00EB5AC1" w:rsidRDefault="00EB5AC1" w:rsidP="00EB5AC1">
      <w:pPr>
        <w:spacing w:after="0" w:line="23" w:lineRule="atLeast"/>
      </w:pPr>
    </w:p>
    <w:p w14:paraId="6868AD26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Комиссия по ценным бумагам и биржам США (US SEC) была создана на основании закона о ценных бумагах и биржах (Securities exchange act 1934);</w:t>
      </w:r>
    </w:p>
    <w:p w14:paraId="12C7797A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098BFBAA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Основными целями принятия Закона Гласса-Стигалла (Banking Act 1933) было:</w:t>
      </w:r>
    </w:p>
    <w:p w14:paraId="5A426107" w14:textId="77777777" w:rsidR="00EB5AC1" w:rsidRPr="00C64A99" w:rsidRDefault="00EB5AC1" w:rsidP="00C64A99">
      <w:pPr>
        <w:pStyle w:val="a9"/>
        <w:numPr>
          <w:ilvl w:val="0"/>
          <w:numId w:val="1"/>
        </w:numPr>
        <w:tabs>
          <w:tab w:val="left" w:pos="1418"/>
        </w:tabs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Разделение банков на коммерческие и инвестиционные;</w:t>
      </w:r>
    </w:p>
    <w:p w14:paraId="3F913331" w14:textId="77777777" w:rsidR="00EB5AC1" w:rsidRPr="00C64A99" w:rsidRDefault="00EB5AC1" w:rsidP="00C64A99">
      <w:pPr>
        <w:pStyle w:val="a9"/>
        <w:numPr>
          <w:ilvl w:val="0"/>
          <w:numId w:val="1"/>
        </w:numPr>
        <w:tabs>
          <w:tab w:val="left" w:pos="1418"/>
        </w:tabs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Создание Федеральной корпорации по страхованию депозитов;</w:t>
      </w:r>
    </w:p>
    <w:p w14:paraId="4065BCFC" w14:textId="77777777" w:rsidR="00EB5AC1" w:rsidRPr="00C64A99" w:rsidRDefault="00EB5AC1" w:rsidP="00C64A99">
      <w:pPr>
        <w:tabs>
          <w:tab w:val="left" w:pos="1418"/>
        </w:tabs>
        <w:spacing w:after="0" w:line="23" w:lineRule="atLeast"/>
        <w:jc w:val="both"/>
        <w:rPr>
          <w:rFonts w:cs="Times New Roman"/>
          <w:color w:val="FF6600"/>
        </w:rPr>
      </w:pPr>
    </w:p>
    <w:p w14:paraId="1A0FF5C0" w14:textId="77777777" w:rsidR="00EB5AC1" w:rsidRPr="00C64A99" w:rsidRDefault="00EB5AC1" w:rsidP="00C64A99">
      <w:pPr>
        <w:tabs>
          <w:tab w:val="left" w:pos="1418"/>
        </w:tabs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Положениями Закона Грэмма-Лича-Блайли определяется возможность создания универсальных банков;</w:t>
      </w:r>
    </w:p>
    <w:p w14:paraId="7153974C" w14:textId="77777777" w:rsidR="00EB5AC1" w:rsidRPr="00C64A99" w:rsidRDefault="00EB5AC1" w:rsidP="00C64A99">
      <w:pPr>
        <w:tabs>
          <w:tab w:val="left" w:pos="1418"/>
        </w:tabs>
        <w:spacing w:after="0" w:line="23" w:lineRule="atLeast"/>
        <w:jc w:val="both"/>
        <w:rPr>
          <w:rFonts w:cs="Times New Roman"/>
        </w:rPr>
      </w:pPr>
    </w:p>
    <w:p w14:paraId="2EE02291" w14:textId="77777777" w:rsidR="00EB5AC1" w:rsidRPr="00C64A99" w:rsidRDefault="00EB5AC1" w:rsidP="00C64A99">
      <w:pPr>
        <w:tabs>
          <w:tab w:val="left" w:pos="1418"/>
        </w:tabs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 xml:space="preserve">Положения Закона Додда-Франка включают в себя требования к внебиржевым операциям с производными финансовыми инструментами, требования к корпоративному управлению, усиление защиты прав потребителей финансовых услуг, ужесточение требований к системообразующим финансовым организациям; </w:t>
      </w:r>
    </w:p>
    <w:p w14:paraId="1570566E" w14:textId="77777777" w:rsidR="0033394E" w:rsidRPr="00C64A99" w:rsidRDefault="0033394E" w:rsidP="00C64A99">
      <w:pPr>
        <w:tabs>
          <w:tab w:val="left" w:pos="1418"/>
        </w:tabs>
        <w:spacing w:after="0" w:line="23" w:lineRule="atLeast"/>
        <w:jc w:val="both"/>
        <w:rPr>
          <w:rFonts w:cs="Times New Roman"/>
        </w:rPr>
      </w:pPr>
    </w:p>
    <w:p w14:paraId="679AD423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Бюро по защите прав потребителей финансовых услуг США (US CFPB) создано на основании акта Додда-Франка;</w:t>
      </w:r>
    </w:p>
    <w:p w14:paraId="39C93D26" w14:textId="77777777" w:rsidR="00EB5AC1" w:rsidRPr="00C64A99" w:rsidRDefault="00EB5AC1" w:rsidP="00C64A99">
      <w:pPr>
        <w:tabs>
          <w:tab w:val="left" w:pos="1418"/>
        </w:tabs>
        <w:spacing w:after="0" w:line="23" w:lineRule="atLeast"/>
        <w:jc w:val="both"/>
        <w:rPr>
          <w:rFonts w:cs="Times New Roman"/>
          <w:color w:val="FF6600"/>
        </w:rPr>
      </w:pPr>
    </w:p>
    <w:p w14:paraId="783BACFF" w14:textId="77777777" w:rsidR="00EB5AC1" w:rsidRPr="00C64A99" w:rsidRDefault="00EB5AC1" w:rsidP="00C64A99">
      <w:pPr>
        <w:tabs>
          <w:tab w:val="left" w:pos="1418"/>
        </w:tabs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FINRA является некоммерческой организацией, аккредитованной Конгрессом США; Членами FINRA могут являться лица, осуществляющие брокерскую и (или) дилерскую деятельность.</w:t>
      </w:r>
    </w:p>
    <w:p w14:paraId="2468BCCE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61200293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Целью деятельности Комиссии по торговле товарными фьючерсами (Commodity Futures Trading Commission) является:</w:t>
      </w:r>
    </w:p>
    <w:p w14:paraId="240FB625" w14:textId="77777777" w:rsidR="00EB5AC1" w:rsidRPr="00C64A99" w:rsidRDefault="00EB5AC1" w:rsidP="00C64A99">
      <w:pPr>
        <w:pStyle w:val="a9"/>
        <w:numPr>
          <w:ilvl w:val="0"/>
          <w:numId w:val="2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Обеспечение открытости, конкурентоспособности, избежание системных рисков и защита пользователей рынка;</w:t>
      </w:r>
    </w:p>
    <w:p w14:paraId="09CB5CC5" w14:textId="77777777" w:rsidR="00EB5AC1" w:rsidRPr="00C64A99" w:rsidRDefault="00EB5AC1" w:rsidP="00C64A99">
      <w:pPr>
        <w:pStyle w:val="a9"/>
        <w:numPr>
          <w:ilvl w:val="0"/>
          <w:numId w:val="2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Надзор за участниками финансового рынка;</w:t>
      </w:r>
    </w:p>
    <w:p w14:paraId="59B2B54D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11B06439" w14:textId="441E3CC0" w:rsidR="0033394E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 xml:space="preserve">Международной ассоциацией рынков капитала (ICMA) изданы стандартные соглашения о сделках РЕПО; </w:t>
      </w:r>
    </w:p>
    <w:p w14:paraId="7AD603C8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7F5C08D0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Совет по финансовой стабильности (FSB) был создан вследствие экономического кризиса 2008 года странами, входящими в G20; Целями деятельности Совета по финансовой стабильности (FSB) является обеспечение имплементации соглашений в сфере финансовой стабильности;</w:t>
      </w:r>
    </w:p>
    <w:p w14:paraId="08CB08D4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701E6AD4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Директивой Европейского Союза от 15 мая 2014 года № 65/EU «О рынках финансовых инструментов и внесении изменений в Директиву Европейского союза 2002/92/EC и Директиву 2011/61/EU» (далее – Mifid 2) определяется:</w:t>
      </w:r>
    </w:p>
    <w:p w14:paraId="59F54199" w14:textId="77777777" w:rsidR="00EB5AC1" w:rsidRPr="00C64A99" w:rsidRDefault="00EB5AC1" w:rsidP="00C64A99">
      <w:pPr>
        <w:pStyle w:val="a9"/>
        <w:numPr>
          <w:ilvl w:val="0"/>
          <w:numId w:val="3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Порядок лицензирования деятельности инвестиционных компаний;</w:t>
      </w:r>
    </w:p>
    <w:p w14:paraId="30E26AB7" w14:textId="77777777" w:rsidR="00EB5AC1" w:rsidRPr="00C64A99" w:rsidRDefault="00EB5AC1" w:rsidP="00C64A99">
      <w:pPr>
        <w:pStyle w:val="a9"/>
        <w:numPr>
          <w:ilvl w:val="0"/>
          <w:numId w:val="3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Требования к осуществлению деятельности инвестиционными компаниями;</w:t>
      </w:r>
    </w:p>
    <w:p w14:paraId="7924CA0A" w14:textId="77777777" w:rsidR="00EB5AC1" w:rsidRPr="00C64A99" w:rsidRDefault="00EB5AC1" w:rsidP="00C64A99">
      <w:pPr>
        <w:pStyle w:val="a9"/>
        <w:numPr>
          <w:ilvl w:val="0"/>
          <w:numId w:val="3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Порядок надзора за деятельностью инвестиционных компаний;</w:t>
      </w:r>
    </w:p>
    <w:p w14:paraId="1367E07D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669C38EB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Лицо, получившее соответствующую лицензию, вправе осуществлять деятельность:</w:t>
      </w:r>
    </w:p>
    <w:p w14:paraId="12408D7B" w14:textId="77777777" w:rsidR="00EB5AC1" w:rsidRPr="00C64A99" w:rsidRDefault="00EB5AC1" w:rsidP="00C64A99">
      <w:pPr>
        <w:pStyle w:val="a9"/>
        <w:numPr>
          <w:ilvl w:val="0"/>
          <w:numId w:val="4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На территории страны члена, где получена лицензия;</w:t>
      </w:r>
    </w:p>
    <w:p w14:paraId="51804FB2" w14:textId="77777777" w:rsidR="00EB5AC1" w:rsidRPr="00C64A99" w:rsidRDefault="00EB5AC1" w:rsidP="00C64A99">
      <w:pPr>
        <w:pStyle w:val="a9"/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и/или</w:t>
      </w:r>
    </w:p>
    <w:p w14:paraId="427E395A" w14:textId="77777777" w:rsidR="00EB5AC1" w:rsidRPr="00C64A99" w:rsidRDefault="00EB5AC1" w:rsidP="00C64A99">
      <w:pPr>
        <w:pStyle w:val="a9"/>
        <w:numPr>
          <w:ilvl w:val="0"/>
          <w:numId w:val="4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На территории всего ЕC;</w:t>
      </w:r>
    </w:p>
    <w:p w14:paraId="7F6B1BCA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4B161C61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Международной ассоциацией свопов и дериваторов (ISDA) подготовлены стандартные условия соглашений для деривативных сделок.</w:t>
      </w:r>
    </w:p>
    <w:p w14:paraId="5299D182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720745BC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Членами Международной организации комиссий по ценным бумагам (IOSCO) являются органы, осуществляющие регулирования и надзор в сфере финансовых рынков.</w:t>
      </w:r>
    </w:p>
    <w:p w14:paraId="1D9007BE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3985B8B3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Государства-члены ЕАЭС осуществляют согласованное регулирование финансовых рынков в соответствии со следующими целями и принципами:</w:t>
      </w:r>
    </w:p>
    <w:p w14:paraId="5A0B791A" w14:textId="77777777" w:rsidR="00EB5AC1" w:rsidRPr="00C64A99" w:rsidRDefault="00EB5AC1" w:rsidP="00C64A99">
      <w:pPr>
        <w:pStyle w:val="a9"/>
        <w:numPr>
          <w:ilvl w:val="0"/>
          <w:numId w:val="5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Углубление экономической интеграции государств-членов с целью создания в рамках Союза общего финансового рынка и обеспечения недискриминационного доступа на финансовые рынки государств-членов;</w:t>
      </w:r>
    </w:p>
    <w:p w14:paraId="0531BEA1" w14:textId="77777777" w:rsidR="00EB5AC1" w:rsidRPr="00C64A99" w:rsidRDefault="00EB5AC1" w:rsidP="00C64A99">
      <w:pPr>
        <w:pStyle w:val="a9"/>
        <w:numPr>
          <w:ilvl w:val="0"/>
          <w:numId w:val="5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Обеспечение гарантированной и эффективной защиты прав и законных интересов потребителей финансовых услуг;</w:t>
      </w:r>
    </w:p>
    <w:p w14:paraId="606AD458" w14:textId="77777777" w:rsidR="00EB5AC1" w:rsidRPr="00C64A99" w:rsidRDefault="00EB5AC1" w:rsidP="00C64A99">
      <w:pPr>
        <w:pStyle w:val="a9"/>
        <w:numPr>
          <w:ilvl w:val="0"/>
          <w:numId w:val="5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Создание условий для взаимного признания лицензий в банковском и страховом секторах, а также в секторе услуг на рынке ценных бумаг, выданных уполномоченными органами одного государства-члена, на территориях других государств-членов;</w:t>
      </w:r>
    </w:p>
    <w:p w14:paraId="7D611419" w14:textId="77777777" w:rsidR="00EB5AC1" w:rsidRPr="00C64A99" w:rsidRDefault="00EB5AC1" w:rsidP="00C64A99">
      <w:pPr>
        <w:pStyle w:val="a9"/>
        <w:numPr>
          <w:ilvl w:val="0"/>
          <w:numId w:val="5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Создание единого регулятора финансового рынка.</w:t>
      </w:r>
    </w:p>
    <w:p w14:paraId="75C5F65D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4689496B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Группа разработки финансовых мер по борьбе с отмыванием денег (FATF) осуществляет разработку международных стандартов в борьбе с отмыванием преступных доходов и финансированием терроризма;</w:t>
      </w:r>
    </w:p>
    <w:p w14:paraId="26AD775B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67C8B832" w14:textId="28CEE347" w:rsidR="00EB5AC1" w:rsidRPr="00C64A99" w:rsidRDefault="00C64A99" w:rsidP="00C64A99">
      <w:pPr>
        <w:spacing w:after="0" w:line="23" w:lineRule="atLeast"/>
        <w:jc w:val="both"/>
        <w:rPr>
          <w:rFonts w:cs="Times New Roman"/>
          <w:b/>
        </w:rPr>
      </w:pPr>
      <w:r w:rsidRPr="00C64A99">
        <w:rPr>
          <w:rFonts w:cs="Times New Roman"/>
          <w:b/>
        </w:rPr>
        <w:t>Тема 8</w:t>
      </w:r>
      <w:r w:rsidR="00EB5AC1" w:rsidRPr="00C64A99">
        <w:rPr>
          <w:rFonts w:cs="Times New Roman"/>
          <w:b/>
        </w:rPr>
        <w:t>.5. Международные торговые системы</w:t>
      </w:r>
    </w:p>
    <w:p w14:paraId="49CEC764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1CC41EC6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Самая крупная в мире по капитализации торговая площадка - Нью-Йоркская фондовая биржа;</w:t>
      </w:r>
    </w:p>
    <w:p w14:paraId="09B09E68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57B9AA03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Основной рыночный индекс, рассчитываемый по данным Лондонской фондовой биржи - FTSE 100;</w:t>
      </w:r>
    </w:p>
    <w:p w14:paraId="08BC11B4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31FFED59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Территориальное местоположение площадок, входящих в группу Euronext:</w:t>
      </w:r>
    </w:p>
    <w:p w14:paraId="424149B2" w14:textId="5A6FE7D6" w:rsidR="00EB5AC1" w:rsidRPr="00C64A99" w:rsidRDefault="006E3998" w:rsidP="00C64A99">
      <w:pPr>
        <w:pStyle w:val="a9"/>
        <w:numPr>
          <w:ilvl w:val="0"/>
          <w:numId w:val="6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 xml:space="preserve">Лондон </w:t>
      </w:r>
      <w:r w:rsidR="00EB5AC1" w:rsidRPr="00C64A99">
        <w:rPr>
          <w:rFonts w:cs="Times New Roman"/>
        </w:rPr>
        <w:t>;</w:t>
      </w:r>
    </w:p>
    <w:p w14:paraId="5DB50DC0" w14:textId="77777777" w:rsidR="00EB5AC1" w:rsidRPr="00C64A99" w:rsidRDefault="00EB5AC1" w:rsidP="00C64A99">
      <w:pPr>
        <w:pStyle w:val="a9"/>
        <w:numPr>
          <w:ilvl w:val="0"/>
          <w:numId w:val="6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Брюссель;</w:t>
      </w:r>
    </w:p>
    <w:p w14:paraId="05DD61A9" w14:textId="77777777" w:rsidR="00EB5AC1" w:rsidRPr="00C64A99" w:rsidRDefault="00EB5AC1" w:rsidP="00C64A99">
      <w:pPr>
        <w:pStyle w:val="a9"/>
        <w:numPr>
          <w:ilvl w:val="0"/>
          <w:numId w:val="6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Лиссабон;</w:t>
      </w:r>
    </w:p>
    <w:p w14:paraId="18F83AE2" w14:textId="1EB238CF" w:rsidR="00EB5AC1" w:rsidRPr="00C64A99" w:rsidRDefault="006E3998" w:rsidP="00C64A99">
      <w:pPr>
        <w:pStyle w:val="a9"/>
        <w:numPr>
          <w:ilvl w:val="0"/>
          <w:numId w:val="6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Амстердам</w:t>
      </w:r>
      <w:r w:rsidR="00EB5AC1" w:rsidRPr="00C64A99">
        <w:rPr>
          <w:rFonts w:cs="Times New Roman"/>
        </w:rPr>
        <w:t>;</w:t>
      </w:r>
    </w:p>
    <w:p w14:paraId="05F7A335" w14:textId="718C75BE" w:rsidR="00EB5AC1" w:rsidRPr="00C64A99" w:rsidRDefault="006E3998" w:rsidP="00C64A99">
      <w:pPr>
        <w:pStyle w:val="a9"/>
        <w:numPr>
          <w:ilvl w:val="0"/>
          <w:numId w:val="6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 xml:space="preserve">Париж </w:t>
      </w:r>
      <w:r w:rsidR="00EB5AC1" w:rsidRPr="00C64A99">
        <w:rPr>
          <w:rFonts w:cs="Times New Roman"/>
        </w:rPr>
        <w:t>.</w:t>
      </w:r>
    </w:p>
    <w:p w14:paraId="083CD716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75A08B8C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Основной рыночный индекс Гонконгской фондовой биржи = Hang Seng.</w:t>
      </w:r>
    </w:p>
    <w:p w14:paraId="2B166D1A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69D52DBD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Требования и ответственность, которые несет финансовый консультант при размещении ценных бумаг на Гонконгской фондовой бирже:</w:t>
      </w:r>
    </w:p>
    <w:p w14:paraId="32489EE7" w14:textId="77777777" w:rsidR="00EB5AC1" w:rsidRPr="00C64A99" w:rsidRDefault="00EB5AC1" w:rsidP="00C64A99">
      <w:pPr>
        <w:pStyle w:val="a9"/>
        <w:numPr>
          <w:ilvl w:val="0"/>
          <w:numId w:val="7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Консультант должен иметь лицензию и быть зарегистрирован в соответствии с территориальным законодательством Гонконга;</w:t>
      </w:r>
    </w:p>
    <w:p w14:paraId="2704C555" w14:textId="77777777" w:rsidR="00EB5AC1" w:rsidRPr="00C64A99" w:rsidRDefault="00EB5AC1" w:rsidP="00C64A99">
      <w:pPr>
        <w:pStyle w:val="a9"/>
        <w:numPr>
          <w:ilvl w:val="0"/>
          <w:numId w:val="7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Консультант несет ответственность за предоставленные финансовые документы своего клиента;</w:t>
      </w:r>
    </w:p>
    <w:p w14:paraId="7D13174E" w14:textId="77777777" w:rsidR="00EB5AC1" w:rsidRPr="00C64A99" w:rsidRDefault="00EB5AC1" w:rsidP="00C64A99">
      <w:pPr>
        <w:pStyle w:val="a9"/>
        <w:numPr>
          <w:ilvl w:val="0"/>
          <w:numId w:val="7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Консультант несет ответственность за подготовку необходимой и вспомогательной документации для включения в котировальный список</w:t>
      </w:r>
    </w:p>
    <w:p w14:paraId="48F705A9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47A0EFFF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Основная расчетно-клиринговую организация, осуществляющая расчетно-клиринговые операции на Гонконгской фондовой бирже - Центральная Клиринговая и Расчетная Система (Central Clearing &amp; Settlement System);</w:t>
      </w:r>
    </w:p>
    <w:p w14:paraId="0423EE0B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716FDEC1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HDR (Гонконгские депозитарные расписки):</w:t>
      </w:r>
    </w:p>
    <w:p w14:paraId="6BC18C3E" w14:textId="77777777" w:rsidR="00EB5AC1" w:rsidRPr="00C64A99" w:rsidRDefault="00EB5AC1" w:rsidP="00C64A99">
      <w:pPr>
        <w:pStyle w:val="a9"/>
        <w:numPr>
          <w:ilvl w:val="0"/>
          <w:numId w:val="8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Продажа/покупка HDR могут осуществляться как в американских, так и в гонконгских долларах;</w:t>
      </w:r>
    </w:p>
    <w:p w14:paraId="7B2E29B8" w14:textId="77777777" w:rsidR="00EB5AC1" w:rsidRPr="00C64A99" w:rsidRDefault="00EB5AC1" w:rsidP="00C64A99">
      <w:pPr>
        <w:pStyle w:val="a9"/>
        <w:numPr>
          <w:ilvl w:val="0"/>
          <w:numId w:val="8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Неспонсируемые/незарегистрированные HDR на биржу не допускаются;</w:t>
      </w:r>
    </w:p>
    <w:p w14:paraId="35037A25" w14:textId="77777777" w:rsidR="00EB5AC1" w:rsidRPr="00C64A99" w:rsidRDefault="00EB5AC1" w:rsidP="00C64A99">
      <w:pPr>
        <w:pStyle w:val="a9"/>
        <w:numPr>
          <w:ilvl w:val="0"/>
          <w:numId w:val="8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lastRenderedPageBreak/>
        <w:t>К листингу на Гонконгской фондовой бирже допускаются компании, зарегистрированные в офшорных юрисдикциях (BVI, Кипр, Остров Мэн, Люксембург);</w:t>
      </w:r>
    </w:p>
    <w:p w14:paraId="6171B27C" w14:textId="77777777" w:rsidR="00EB5AC1" w:rsidRPr="00C64A99" w:rsidRDefault="00EB5AC1" w:rsidP="00C64A99">
      <w:pPr>
        <w:pStyle w:val="a9"/>
        <w:numPr>
          <w:ilvl w:val="0"/>
          <w:numId w:val="8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В отношении HDR применяется аналогичный гербовый сбор, что и для обыкновенных акций.</w:t>
      </w:r>
    </w:p>
    <w:p w14:paraId="61D91F1A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618B2367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Требования, которые предъявляются к эмитентам депозитарных расписок на Гонконгской фондовой бирже:</w:t>
      </w:r>
    </w:p>
    <w:p w14:paraId="31DA0308" w14:textId="77777777" w:rsidR="00EB5AC1" w:rsidRPr="00C64A99" w:rsidRDefault="00EB5AC1" w:rsidP="00C64A99">
      <w:pPr>
        <w:pStyle w:val="a9"/>
        <w:numPr>
          <w:ilvl w:val="0"/>
          <w:numId w:val="9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Раскрытие информации, которая может повлиять на стоимость депозитарных расписок;</w:t>
      </w:r>
    </w:p>
    <w:p w14:paraId="13B310DE" w14:textId="77777777" w:rsidR="00EB5AC1" w:rsidRPr="00C64A99" w:rsidRDefault="00EB5AC1" w:rsidP="00C64A99">
      <w:pPr>
        <w:pStyle w:val="a9"/>
        <w:numPr>
          <w:ilvl w:val="0"/>
          <w:numId w:val="9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Раскрытие информации о соблюдении требования о наличии в компании минимум трех независимых директоров. Один из независимых директоров должен обладать профессиональной квалификацией в области финансов и бухгалтерского учета;</w:t>
      </w:r>
    </w:p>
    <w:p w14:paraId="579AC8A6" w14:textId="77777777" w:rsidR="00EB5AC1" w:rsidRPr="00C64A99" w:rsidRDefault="00EB5AC1" w:rsidP="00C64A99">
      <w:pPr>
        <w:pStyle w:val="a9"/>
        <w:numPr>
          <w:ilvl w:val="0"/>
          <w:numId w:val="9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Раскрытие отчета о соблюдении кодекса Корпоративного управления;</w:t>
      </w:r>
    </w:p>
    <w:p w14:paraId="68106464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57E8333B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Наиболее близкое понятие, характеризующее альтернативные торговые системы (ATS):</w:t>
      </w:r>
    </w:p>
    <w:p w14:paraId="020255A6" w14:textId="77777777" w:rsidR="00EB5AC1" w:rsidRPr="00C64A99" w:rsidRDefault="00EB5AC1" w:rsidP="00C64A99">
      <w:pPr>
        <w:pStyle w:val="a9"/>
        <w:numPr>
          <w:ilvl w:val="0"/>
          <w:numId w:val="10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Торговая площадка, которая не является биржей;</w:t>
      </w:r>
    </w:p>
    <w:p w14:paraId="2E9C7468" w14:textId="77777777" w:rsidR="00EB5AC1" w:rsidRPr="00C64A99" w:rsidRDefault="00EB5AC1" w:rsidP="00C64A99">
      <w:pPr>
        <w:pStyle w:val="a9"/>
        <w:numPr>
          <w:ilvl w:val="0"/>
          <w:numId w:val="10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Торговая площадка, на которой сделки заключаются в частном режиме между зарегистрированными участниками;</w:t>
      </w:r>
    </w:p>
    <w:p w14:paraId="1C6BD1E1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6F5F7549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Основной индекс Немецкой Фондовой Биржи (Deutsche Börse) - DAX 30;</w:t>
      </w:r>
    </w:p>
    <w:p w14:paraId="3C235579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4DEB51D6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Задачи, которые выполняет банковский синдикат/банковский консорциум в процессе размещения выпусков акций эмитентов на Немецкой Фондовой Бирже (Deutsche Börse):</w:t>
      </w:r>
    </w:p>
    <w:p w14:paraId="57AF605F" w14:textId="77777777" w:rsidR="00EB5AC1" w:rsidRPr="00C64A99" w:rsidRDefault="00EB5AC1" w:rsidP="00C64A99">
      <w:pPr>
        <w:pStyle w:val="a9"/>
        <w:numPr>
          <w:ilvl w:val="0"/>
          <w:numId w:val="11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Проверка готовности и состоятельности компании к выходу на открытый рынок;</w:t>
      </w:r>
    </w:p>
    <w:p w14:paraId="7E111059" w14:textId="77777777" w:rsidR="00EB5AC1" w:rsidRPr="00C64A99" w:rsidRDefault="00EB5AC1" w:rsidP="00C64A99">
      <w:pPr>
        <w:pStyle w:val="a9"/>
        <w:numPr>
          <w:ilvl w:val="0"/>
          <w:numId w:val="11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Комплексная оценка Due diligence;</w:t>
      </w:r>
    </w:p>
    <w:p w14:paraId="6FAD1F7D" w14:textId="77777777" w:rsidR="00EB5AC1" w:rsidRPr="00C64A99" w:rsidRDefault="00EB5AC1" w:rsidP="00C64A99">
      <w:pPr>
        <w:pStyle w:val="a9"/>
        <w:numPr>
          <w:ilvl w:val="0"/>
          <w:numId w:val="11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Структурирование процедуры эмиссии ценных бумаг;</w:t>
      </w:r>
    </w:p>
    <w:p w14:paraId="5F9DF3AC" w14:textId="77777777" w:rsidR="00EB5AC1" w:rsidRPr="00C64A99" w:rsidRDefault="00EB5AC1" w:rsidP="00C64A99">
      <w:pPr>
        <w:pStyle w:val="a9"/>
        <w:numPr>
          <w:ilvl w:val="0"/>
          <w:numId w:val="11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Рыночная оценка компании;</w:t>
      </w:r>
    </w:p>
    <w:p w14:paraId="4999F1AA" w14:textId="77777777" w:rsidR="00EB5AC1" w:rsidRPr="00C64A99" w:rsidRDefault="00EB5AC1" w:rsidP="00C64A99">
      <w:pPr>
        <w:pStyle w:val="a9"/>
        <w:numPr>
          <w:ilvl w:val="0"/>
          <w:numId w:val="11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Подготовка аналитических материалов;</w:t>
      </w:r>
    </w:p>
    <w:p w14:paraId="31D8DAFA" w14:textId="77777777" w:rsidR="00EB5AC1" w:rsidRPr="00C64A99" w:rsidRDefault="00EB5AC1" w:rsidP="00C64A99">
      <w:pPr>
        <w:pStyle w:val="a9"/>
        <w:numPr>
          <w:ilvl w:val="0"/>
          <w:numId w:val="11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Размещение выпуска ценных бумаг;</w:t>
      </w:r>
    </w:p>
    <w:p w14:paraId="675588F4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5773D434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Стандарты компаний на Немецкой фондовой бирже (Deutsche Börse):</w:t>
      </w:r>
    </w:p>
    <w:p w14:paraId="11A0A762" w14:textId="77777777" w:rsidR="00EB5AC1" w:rsidRPr="00C64A99" w:rsidRDefault="00EB5AC1" w:rsidP="00C64A99">
      <w:pPr>
        <w:pStyle w:val="a9"/>
        <w:numPr>
          <w:ilvl w:val="0"/>
          <w:numId w:val="12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Entry Standard;</w:t>
      </w:r>
    </w:p>
    <w:p w14:paraId="5B4221EF" w14:textId="77777777" w:rsidR="00EB5AC1" w:rsidRPr="00C64A99" w:rsidRDefault="00EB5AC1" w:rsidP="00C64A99">
      <w:pPr>
        <w:pStyle w:val="a9"/>
        <w:numPr>
          <w:ilvl w:val="0"/>
          <w:numId w:val="12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Prime Standard;</w:t>
      </w:r>
    </w:p>
    <w:p w14:paraId="131CA4AB" w14:textId="77777777" w:rsidR="00EB5AC1" w:rsidRPr="00C64A99" w:rsidRDefault="00EB5AC1" w:rsidP="00C64A99">
      <w:pPr>
        <w:pStyle w:val="a9"/>
        <w:numPr>
          <w:ilvl w:val="0"/>
          <w:numId w:val="12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General Standard;</w:t>
      </w:r>
    </w:p>
    <w:p w14:paraId="4CE5FB9A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2DF227BA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Шанхайская Фондовая Биржа существует в форме некоммерческой организации;</w:t>
      </w:r>
    </w:p>
    <w:p w14:paraId="3DEAC9CF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734CEFB9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Основной рыночный индекс Шанхайской фондовой биржи - SSE Composite;</w:t>
      </w:r>
    </w:p>
    <w:p w14:paraId="69959121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29ED81D2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Сегменты на рынке акций существующие на Шанхайской фондовой бирже:</w:t>
      </w:r>
    </w:p>
    <w:p w14:paraId="179A1F2C" w14:textId="77777777" w:rsidR="00EB5AC1" w:rsidRPr="00C64A99" w:rsidRDefault="00EB5AC1" w:rsidP="00C64A99">
      <w:pPr>
        <w:pStyle w:val="a9"/>
        <w:numPr>
          <w:ilvl w:val="0"/>
          <w:numId w:val="13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Класс «А» – доступны как для локальных, так и для иностранных инвесторов (только квалифицированных институциональных инвесторов QFII), котируются только в национальной валюте;</w:t>
      </w:r>
    </w:p>
    <w:p w14:paraId="0EAA9236" w14:textId="77777777" w:rsidR="00EB5AC1" w:rsidRPr="00C64A99" w:rsidRDefault="00EB5AC1" w:rsidP="00C64A99">
      <w:pPr>
        <w:pStyle w:val="a9"/>
        <w:numPr>
          <w:ilvl w:val="0"/>
          <w:numId w:val="13"/>
        </w:num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Класс «B» – доступны всем иностранным инвесторам и обращаются в иностранной валюте;</w:t>
      </w:r>
    </w:p>
    <w:p w14:paraId="40B7D013" w14:textId="77777777" w:rsidR="00EB5AC1" w:rsidRPr="00C64A99" w:rsidRDefault="00EB5AC1" w:rsidP="00C64A99">
      <w:pPr>
        <w:spacing w:after="0" w:line="23" w:lineRule="atLeast"/>
        <w:jc w:val="both"/>
        <w:rPr>
          <w:rFonts w:cs="Times New Roman"/>
          <w:color w:val="FF6600"/>
        </w:rPr>
      </w:pPr>
    </w:p>
    <w:p w14:paraId="683A7721" w14:textId="2040F1F8" w:rsidR="00EB5AC1" w:rsidRPr="00C64A99" w:rsidRDefault="00EB5AC1" w:rsidP="00C64A99">
      <w:pPr>
        <w:spacing w:after="0" w:line="23" w:lineRule="atLeast"/>
        <w:jc w:val="both"/>
        <w:rPr>
          <w:rFonts w:cs="Times New Roman"/>
        </w:rPr>
      </w:pPr>
      <w:r w:rsidRPr="00C64A99">
        <w:rPr>
          <w:rFonts w:cs="Times New Roman"/>
        </w:rPr>
        <w:t>Международная валютная система</w:t>
      </w:r>
      <w:r w:rsidR="00C64A99" w:rsidRPr="00C64A99">
        <w:rPr>
          <w:rFonts w:cs="Times New Roman"/>
        </w:rPr>
        <w:t>,</w:t>
      </w:r>
      <w:r w:rsidRPr="00C64A99">
        <w:rPr>
          <w:rFonts w:cs="Times New Roman"/>
        </w:rPr>
        <w:t xml:space="preserve"> основанная на свободной торговле валютой (свободной конвертации валют)</w:t>
      </w:r>
      <w:r w:rsidR="00C64A99" w:rsidRPr="00C64A99">
        <w:rPr>
          <w:rFonts w:cs="Times New Roman"/>
        </w:rPr>
        <w:t>,</w:t>
      </w:r>
      <w:r w:rsidRPr="00C64A99">
        <w:rPr>
          <w:rFonts w:cs="Times New Roman"/>
        </w:rPr>
        <w:t xml:space="preserve"> - ямайская валютная си</w:t>
      </w:r>
      <w:r w:rsidR="00C64A99" w:rsidRPr="00C64A99">
        <w:rPr>
          <w:rFonts w:cs="Times New Roman"/>
        </w:rPr>
        <w:t>стема.</w:t>
      </w:r>
    </w:p>
    <w:p w14:paraId="25F91EBB" w14:textId="77777777" w:rsidR="00EB5AC1" w:rsidRPr="0033394E" w:rsidRDefault="00EB5AC1" w:rsidP="00EB5AC1">
      <w:pPr>
        <w:spacing w:after="0" w:line="23" w:lineRule="atLeast"/>
        <w:rPr>
          <w:color w:val="FF6600"/>
        </w:rPr>
      </w:pPr>
    </w:p>
    <w:p w14:paraId="339479F5" w14:textId="47638AE1" w:rsidR="000D3039" w:rsidRPr="0033394E" w:rsidRDefault="000D3039" w:rsidP="00EF363F">
      <w:pPr>
        <w:spacing w:after="0" w:line="23" w:lineRule="atLeast"/>
        <w:rPr>
          <w:color w:val="FF6600"/>
        </w:rPr>
      </w:pPr>
    </w:p>
    <w:sectPr w:rsidR="000D3039" w:rsidRPr="0033394E" w:rsidSect="009B5723">
      <w:headerReference w:type="even" r:id="rId10"/>
      <w:headerReference w:type="defaul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58BD4" w14:textId="77777777" w:rsidR="00F92665" w:rsidRDefault="00F92665" w:rsidP="00F3312E">
      <w:pPr>
        <w:spacing w:after="0" w:line="240" w:lineRule="auto"/>
      </w:pPr>
      <w:r>
        <w:separator/>
      </w:r>
    </w:p>
  </w:endnote>
  <w:endnote w:type="continuationSeparator" w:id="0">
    <w:p w14:paraId="33566C56" w14:textId="77777777" w:rsidR="00F92665" w:rsidRDefault="00F92665" w:rsidP="00F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1530B" w14:textId="77777777" w:rsidR="00F92665" w:rsidRDefault="00F92665" w:rsidP="00F3312E">
      <w:pPr>
        <w:spacing w:after="0" w:line="240" w:lineRule="auto"/>
      </w:pPr>
      <w:r>
        <w:separator/>
      </w:r>
    </w:p>
  </w:footnote>
  <w:footnote w:type="continuationSeparator" w:id="0">
    <w:p w14:paraId="7DDF72B4" w14:textId="77777777" w:rsidR="00F92665" w:rsidRDefault="00F92665" w:rsidP="00F3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1212C" w14:textId="77777777" w:rsidR="00B3172A" w:rsidRDefault="00B3172A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73166903" w14:textId="77777777" w:rsidR="00B3172A" w:rsidRDefault="00B3172A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298A3" w14:textId="7461A836" w:rsidR="00B3172A" w:rsidRDefault="00B3172A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C64A99">
      <w:rPr>
        <w:rStyle w:val="aff2"/>
        <w:noProof/>
      </w:rPr>
      <w:t>9</w:t>
    </w:r>
    <w:r>
      <w:rPr>
        <w:rStyle w:val="aff2"/>
      </w:rPr>
      <w:fldChar w:fldCharType="end"/>
    </w:r>
  </w:p>
  <w:p w14:paraId="2AA0A439" w14:textId="2FA25D23" w:rsidR="00B3172A" w:rsidRDefault="00B3172A">
    <w:pPr>
      <w:pStyle w:val="af8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664"/>
    <w:multiLevelType w:val="hybridMultilevel"/>
    <w:tmpl w:val="BD36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62DC"/>
    <w:multiLevelType w:val="hybridMultilevel"/>
    <w:tmpl w:val="B42E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410C"/>
    <w:multiLevelType w:val="hybridMultilevel"/>
    <w:tmpl w:val="3250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C239C"/>
    <w:multiLevelType w:val="hybridMultilevel"/>
    <w:tmpl w:val="B4B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279FB"/>
    <w:multiLevelType w:val="hybridMultilevel"/>
    <w:tmpl w:val="D4CA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52C63"/>
    <w:multiLevelType w:val="hybridMultilevel"/>
    <w:tmpl w:val="F7DE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C7FDE"/>
    <w:multiLevelType w:val="hybridMultilevel"/>
    <w:tmpl w:val="8CC8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578E2"/>
    <w:multiLevelType w:val="hybridMultilevel"/>
    <w:tmpl w:val="80F4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05BD9"/>
    <w:multiLevelType w:val="hybridMultilevel"/>
    <w:tmpl w:val="DAE6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F0E1F"/>
    <w:multiLevelType w:val="hybridMultilevel"/>
    <w:tmpl w:val="E4EE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50501"/>
    <w:multiLevelType w:val="hybridMultilevel"/>
    <w:tmpl w:val="3786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D4FED"/>
    <w:multiLevelType w:val="hybridMultilevel"/>
    <w:tmpl w:val="1948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04A9E"/>
    <w:multiLevelType w:val="hybridMultilevel"/>
    <w:tmpl w:val="97E8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A52782"/>
    <w:multiLevelType w:val="hybridMultilevel"/>
    <w:tmpl w:val="DE40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22182"/>
    <w:multiLevelType w:val="hybridMultilevel"/>
    <w:tmpl w:val="832A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575CC3"/>
    <w:multiLevelType w:val="hybridMultilevel"/>
    <w:tmpl w:val="EA9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D6276"/>
    <w:multiLevelType w:val="hybridMultilevel"/>
    <w:tmpl w:val="268A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CA1BCB"/>
    <w:multiLevelType w:val="hybridMultilevel"/>
    <w:tmpl w:val="E752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29586A"/>
    <w:multiLevelType w:val="hybridMultilevel"/>
    <w:tmpl w:val="5F32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BE2F39"/>
    <w:multiLevelType w:val="hybridMultilevel"/>
    <w:tmpl w:val="8FD6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D3500F"/>
    <w:multiLevelType w:val="hybridMultilevel"/>
    <w:tmpl w:val="4F50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D04B0C"/>
    <w:multiLevelType w:val="hybridMultilevel"/>
    <w:tmpl w:val="AADC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9006B"/>
    <w:multiLevelType w:val="hybridMultilevel"/>
    <w:tmpl w:val="8C80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C85636"/>
    <w:multiLevelType w:val="hybridMultilevel"/>
    <w:tmpl w:val="598E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A6257B"/>
    <w:multiLevelType w:val="hybridMultilevel"/>
    <w:tmpl w:val="49A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412823"/>
    <w:multiLevelType w:val="hybridMultilevel"/>
    <w:tmpl w:val="222E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03514F"/>
    <w:multiLevelType w:val="hybridMultilevel"/>
    <w:tmpl w:val="1B68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7028AA"/>
    <w:multiLevelType w:val="hybridMultilevel"/>
    <w:tmpl w:val="893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AE51D2"/>
    <w:multiLevelType w:val="hybridMultilevel"/>
    <w:tmpl w:val="9DBC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9751E7"/>
    <w:multiLevelType w:val="hybridMultilevel"/>
    <w:tmpl w:val="A02A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26388C"/>
    <w:multiLevelType w:val="hybridMultilevel"/>
    <w:tmpl w:val="31C0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5F4379"/>
    <w:multiLevelType w:val="hybridMultilevel"/>
    <w:tmpl w:val="56C4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B96127"/>
    <w:multiLevelType w:val="hybridMultilevel"/>
    <w:tmpl w:val="B64C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AB2B62"/>
    <w:multiLevelType w:val="hybridMultilevel"/>
    <w:tmpl w:val="1BF8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F40686"/>
    <w:multiLevelType w:val="hybridMultilevel"/>
    <w:tmpl w:val="E894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7F7DA9"/>
    <w:multiLevelType w:val="hybridMultilevel"/>
    <w:tmpl w:val="0AF8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192A24"/>
    <w:multiLevelType w:val="hybridMultilevel"/>
    <w:tmpl w:val="AF7E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5E1007"/>
    <w:multiLevelType w:val="hybridMultilevel"/>
    <w:tmpl w:val="0860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524FD4"/>
    <w:multiLevelType w:val="hybridMultilevel"/>
    <w:tmpl w:val="584A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A64947"/>
    <w:multiLevelType w:val="hybridMultilevel"/>
    <w:tmpl w:val="CCB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BD2AF3"/>
    <w:multiLevelType w:val="hybridMultilevel"/>
    <w:tmpl w:val="C730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1C6024"/>
    <w:multiLevelType w:val="hybridMultilevel"/>
    <w:tmpl w:val="2256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B06329"/>
    <w:multiLevelType w:val="hybridMultilevel"/>
    <w:tmpl w:val="EB1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FA0175"/>
    <w:multiLevelType w:val="hybridMultilevel"/>
    <w:tmpl w:val="1BAA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CD22C9"/>
    <w:multiLevelType w:val="hybridMultilevel"/>
    <w:tmpl w:val="79A2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491F27"/>
    <w:multiLevelType w:val="hybridMultilevel"/>
    <w:tmpl w:val="9A6E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760AB9"/>
    <w:multiLevelType w:val="hybridMultilevel"/>
    <w:tmpl w:val="27C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A4359B"/>
    <w:multiLevelType w:val="hybridMultilevel"/>
    <w:tmpl w:val="6A6E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4F383D"/>
    <w:multiLevelType w:val="hybridMultilevel"/>
    <w:tmpl w:val="7CBA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7A2D30"/>
    <w:multiLevelType w:val="hybridMultilevel"/>
    <w:tmpl w:val="7C0E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DA1478"/>
    <w:multiLevelType w:val="hybridMultilevel"/>
    <w:tmpl w:val="FF60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BD327A"/>
    <w:multiLevelType w:val="hybridMultilevel"/>
    <w:tmpl w:val="7342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1157E7"/>
    <w:multiLevelType w:val="hybridMultilevel"/>
    <w:tmpl w:val="21B4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EB0E77"/>
    <w:multiLevelType w:val="hybridMultilevel"/>
    <w:tmpl w:val="363E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4" w15:restartNumberingAfterBreak="0">
    <w:nsid w:val="5E1A4AAA"/>
    <w:multiLevelType w:val="hybridMultilevel"/>
    <w:tmpl w:val="2862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7B3254"/>
    <w:multiLevelType w:val="hybridMultilevel"/>
    <w:tmpl w:val="0B12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660050"/>
    <w:multiLevelType w:val="hybridMultilevel"/>
    <w:tmpl w:val="5B88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6E73D2"/>
    <w:multiLevelType w:val="hybridMultilevel"/>
    <w:tmpl w:val="4006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354A93"/>
    <w:multiLevelType w:val="hybridMultilevel"/>
    <w:tmpl w:val="73A4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68475F"/>
    <w:multiLevelType w:val="hybridMultilevel"/>
    <w:tmpl w:val="768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0667B6"/>
    <w:multiLevelType w:val="hybridMultilevel"/>
    <w:tmpl w:val="F7B4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610919"/>
    <w:multiLevelType w:val="hybridMultilevel"/>
    <w:tmpl w:val="51B0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056422"/>
    <w:multiLevelType w:val="hybridMultilevel"/>
    <w:tmpl w:val="8D24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A13FB8"/>
    <w:multiLevelType w:val="hybridMultilevel"/>
    <w:tmpl w:val="58D6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E9148F"/>
    <w:multiLevelType w:val="hybridMultilevel"/>
    <w:tmpl w:val="AF84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634B6B"/>
    <w:multiLevelType w:val="hybridMultilevel"/>
    <w:tmpl w:val="33DC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894AB8"/>
    <w:multiLevelType w:val="hybridMultilevel"/>
    <w:tmpl w:val="8286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A2112D"/>
    <w:multiLevelType w:val="hybridMultilevel"/>
    <w:tmpl w:val="2E7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B438D6"/>
    <w:multiLevelType w:val="hybridMultilevel"/>
    <w:tmpl w:val="5698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7656F9"/>
    <w:multiLevelType w:val="hybridMultilevel"/>
    <w:tmpl w:val="AA2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F9008B"/>
    <w:multiLevelType w:val="hybridMultilevel"/>
    <w:tmpl w:val="E6FE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1544D9"/>
    <w:multiLevelType w:val="hybridMultilevel"/>
    <w:tmpl w:val="F3A0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0C43F1"/>
    <w:multiLevelType w:val="hybridMultilevel"/>
    <w:tmpl w:val="79F2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C975A2"/>
    <w:multiLevelType w:val="hybridMultilevel"/>
    <w:tmpl w:val="3E8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D07151"/>
    <w:multiLevelType w:val="hybridMultilevel"/>
    <w:tmpl w:val="2772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D70016"/>
    <w:multiLevelType w:val="hybridMultilevel"/>
    <w:tmpl w:val="FD78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3"/>
  </w:num>
  <w:num w:numId="3">
    <w:abstractNumId w:val="61"/>
  </w:num>
  <w:num w:numId="4">
    <w:abstractNumId w:val="47"/>
  </w:num>
  <w:num w:numId="5">
    <w:abstractNumId w:val="50"/>
  </w:num>
  <w:num w:numId="6">
    <w:abstractNumId w:val="4"/>
  </w:num>
  <w:num w:numId="7">
    <w:abstractNumId w:val="17"/>
  </w:num>
  <w:num w:numId="8">
    <w:abstractNumId w:val="12"/>
  </w:num>
  <w:num w:numId="9">
    <w:abstractNumId w:val="2"/>
  </w:num>
  <w:num w:numId="10">
    <w:abstractNumId w:val="44"/>
  </w:num>
  <w:num w:numId="11">
    <w:abstractNumId w:val="25"/>
  </w:num>
  <w:num w:numId="12">
    <w:abstractNumId w:val="74"/>
  </w:num>
  <w:num w:numId="13">
    <w:abstractNumId w:val="3"/>
  </w:num>
  <w:num w:numId="14">
    <w:abstractNumId w:val="75"/>
  </w:num>
  <w:num w:numId="15">
    <w:abstractNumId w:val="54"/>
  </w:num>
  <w:num w:numId="16">
    <w:abstractNumId w:val="60"/>
  </w:num>
  <w:num w:numId="17">
    <w:abstractNumId w:val="8"/>
  </w:num>
  <w:num w:numId="18">
    <w:abstractNumId w:val="62"/>
  </w:num>
  <w:num w:numId="19">
    <w:abstractNumId w:val="27"/>
  </w:num>
  <w:num w:numId="20">
    <w:abstractNumId w:val="6"/>
  </w:num>
  <w:num w:numId="21">
    <w:abstractNumId w:val="1"/>
  </w:num>
  <w:num w:numId="22">
    <w:abstractNumId w:val="39"/>
  </w:num>
  <w:num w:numId="23">
    <w:abstractNumId w:val="45"/>
  </w:num>
  <w:num w:numId="24">
    <w:abstractNumId w:val="21"/>
  </w:num>
  <w:num w:numId="25">
    <w:abstractNumId w:val="56"/>
  </w:num>
  <w:num w:numId="26">
    <w:abstractNumId w:val="29"/>
  </w:num>
  <w:num w:numId="27">
    <w:abstractNumId w:val="52"/>
  </w:num>
  <w:num w:numId="28">
    <w:abstractNumId w:val="46"/>
  </w:num>
  <w:num w:numId="29">
    <w:abstractNumId w:val="42"/>
  </w:num>
  <w:num w:numId="30">
    <w:abstractNumId w:val="36"/>
  </w:num>
  <w:num w:numId="31">
    <w:abstractNumId w:val="63"/>
  </w:num>
  <w:num w:numId="32">
    <w:abstractNumId w:val="10"/>
  </w:num>
  <w:num w:numId="33">
    <w:abstractNumId w:val="64"/>
  </w:num>
  <w:num w:numId="34">
    <w:abstractNumId w:val="72"/>
  </w:num>
  <w:num w:numId="35">
    <w:abstractNumId w:val="28"/>
  </w:num>
  <w:num w:numId="36">
    <w:abstractNumId w:val="73"/>
  </w:num>
  <w:num w:numId="37">
    <w:abstractNumId w:val="15"/>
  </w:num>
  <w:num w:numId="38">
    <w:abstractNumId w:val="5"/>
  </w:num>
  <w:num w:numId="39">
    <w:abstractNumId w:val="68"/>
  </w:num>
  <w:num w:numId="40">
    <w:abstractNumId w:val="71"/>
  </w:num>
  <w:num w:numId="41">
    <w:abstractNumId w:val="7"/>
  </w:num>
  <w:num w:numId="42">
    <w:abstractNumId w:val="32"/>
  </w:num>
  <w:num w:numId="43">
    <w:abstractNumId w:val="40"/>
  </w:num>
  <w:num w:numId="44">
    <w:abstractNumId w:val="31"/>
  </w:num>
  <w:num w:numId="45">
    <w:abstractNumId w:val="41"/>
  </w:num>
  <w:num w:numId="46">
    <w:abstractNumId w:val="22"/>
  </w:num>
  <w:num w:numId="47">
    <w:abstractNumId w:val="70"/>
  </w:num>
  <w:num w:numId="48">
    <w:abstractNumId w:val="9"/>
  </w:num>
  <w:num w:numId="49">
    <w:abstractNumId w:val="38"/>
  </w:num>
  <w:num w:numId="50">
    <w:abstractNumId w:val="65"/>
  </w:num>
  <w:num w:numId="51">
    <w:abstractNumId w:val="0"/>
  </w:num>
  <w:num w:numId="52">
    <w:abstractNumId w:val="35"/>
  </w:num>
  <w:num w:numId="53">
    <w:abstractNumId w:val="57"/>
  </w:num>
  <w:num w:numId="54">
    <w:abstractNumId w:val="66"/>
  </w:num>
  <w:num w:numId="55">
    <w:abstractNumId w:val="11"/>
  </w:num>
  <w:num w:numId="56">
    <w:abstractNumId w:val="34"/>
  </w:num>
  <w:num w:numId="57">
    <w:abstractNumId w:val="58"/>
  </w:num>
  <w:num w:numId="58">
    <w:abstractNumId w:val="37"/>
  </w:num>
  <w:num w:numId="59">
    <w:abstractNumId w:val="18"/>
  </w:num>
  <w:num w:numId="60">
    <w:abstractNumId w:val="49"/>
  </w:num>
  <w:num w:numId="61">
    <w:abstractNumId w:val="48"/>
  </w:num>
  <w:num w:numId="62">
    <w:abstractNumId w:val="26"/>
  </w:num>
  <w:num w:numId="63">
    <w:abstractNumId w:val="69"/>
  </w:num>
  <w:num w:numId="64">
    <w:abstractNumId w:val="13"/>
  </w:num>
  <w:num w:numId="65">
    <w:abstractNumId w:val="51"/>
  </w:num>
  <w:num w:numId="66">
    <w:abstractNumId w:val="30"/>
  </w:num>
  <w:num w:numId="67">
    <w:abstractNumId w:val="59"/>
  </w:num>
  <w:num w:numId="68">
    <w:abstractNumId w:val="55"/>
  </w:num>
  <w:num w:numId="69">
    <w:abstractNumId w:val="33"/>
  </w:num>
  <w:num w:numId="70">
    <w:abstractNumId w:val="19"/>
  </w:num>
  <w:num w:numId="71">
    <w:abstractNumId w:val="20"/>
  </w:num>
  <w:num w:numId="72">
    <w:abstractNumId w:val="67"/>
  </w:num>
  <w:num w:numId="73">
    <w:abstractNumId w:val="24"/>
  </w:num>
  <w:num w:numId="74">
    <w:abstractNumId w:val="43"/>
  </w:num>
  <w:num w:numId="75">
    <w:abstractNumId w:val="14"/>
  </w:num>
  <w:num w:numId="76">
    <w:abstractNumId w:val="1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4B"/>
    <w:rsid w:val="000D3039"/>
    <w:rsid w:val="00112027"/>
    <w:rsid w:val="001326DB"/>
    <w:rsid w:val="00164BF6"/>
    <w:rsid w:val="001706ED"/>
    <w:rsid w:val="001B76CB"/>
    <w:rsid w:val="001D717D"/>
    <w:rsid w:val="002400A8"/>
    <w:rsid w:val="00261D56"/>
    <w:rsid w:val="00294645"/>
    <w:rsid w:val="002F2E40"/>
    <w:rsid w:val="00313668"/>
    <w:rsid w:val="0031677A"/>
    <w:rsid w:val="0033394E"/>
    <w:rsid w:val="003C0957"/>
    <w:rsid w:val="003E6637"/>
    <w:rsid w:val="004B490D"/>
    <w:rsid w:val="0051311E"/>
    <w:rsid w:val="00527521"/>
    <w:rsid w:val="00585ED7"/>
    <w:rsid w:val="005C3615"/>
    <w:rsid w:val="005F2708"/>
    <w:rsid w:val="005F31C2"/>
    <w:rsid w:val="006174AC"/>
    <w:rsid w:val="00621F4E"/>
    <w:rsid w:val="006418A3"/>
    <w:rsid w:val="00645CEB"/>
    <w:rsid w:val="006A1AEC"/>
    <w:rsid w:val="006E3998"/>
    <w:rsid w:val="00710A09"/>
    <w:rsid w:val="00727F98"/>
    <w:rsid w:val="00773651"/>
    <w:rsid w:val="007D476C"/>
    <w:rsid w:val="007F64C0"/>
    <w:rsid w:val="008620F6"/>
    <w:rsid w:val="008E43B6"/>
    <w:rsid w:val="00963C0D"/>
    <w:rsid w:val="009B5723"/>
    <w:rsid w:val="00A323F4"/>
    <w:rsid w:val="00A943E8"/>
    <w:rsid w:val="00AF791A"/>
    <w:rsid w:val="00B3172A"/>
    <w:rsid w:val="00B4145F"/>
    <w:rsid w:val="00B50DAF"/>
    <w:rsid w:val="00B5224B"/>
    <w:rsid w:val="00B71F69"/>
    <w:rsid w:val="00BD283C"/>
    <w:rsid w:val="00C64A99"/>
    <w:rsid w:val="00EB21ED"/>
    <w:rsid w:val="00EB5AC1"/>
    <w:rsid w:val="00EC67B8"/>
    <w:rsid w:val="00EF363F"/>
    <w:rsid w:val="00F03A0A"/>
    <w:rsid w:val="00F3312E"/>
    <w:rsid w:val="00F74566"/>
    <w:rsid w:val="00F8285D"/>
    <w:rsid w:val="00F92665"/>
    <w:rsid w:val="00FE1E7A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32E07E"/>
  <w14:defaultImageDpi w14:val="300"/>
  <w15:docId w15:val="{1AA045B5-94DE-4C5A-846D-233650C5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8A49A289C45A47BD117351DBEA2B5C" ma:contentTypeVersion="7" ma:contentTypeDescription="Создание документа." ma:contentTypeScope="" ma:versionID="4394ce5a1a7bae0c436247bda0ccf68a">
  <xsd:schema xmlns:xsd="http://www.w3.org/2001/XMLSchema" xmlns:xs="http://www.w3.org/2001/XMLSchema" xmlns:p="http://schemas.microsoft.com/office/2006/metadata/properties" xmlns:ns2="71757cf3-3ea1-4673-b7b3-91ceddc9ed40" targetNamespace="http://schemas.microsoft.com/office/2006/metadata/properties" ma:root="true" ma:fieldsID="7f1f3e66cf11bbc717e695c624cbbabb" ns2:_="">
    <xsd:import namespace="71757cf3-3ea1-4673-b7b3-91ceddc9e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57cf3-3ea1-4673-b7b3-91ceddc9e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BF8302-6A97-44BB-B754-F817F3CAB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B8CC47-3B3C-4F86-922D-ABC79181F6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672D4-532D-40F2-8FA1-6DA8C268A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57cf3-3ea1-4673-b7b3-91ceddc9e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3456</Words>
  <Characters>19700</Characters>
  <Application>Microsoft Office Word</Application>
  <DocSecurity>0</DocSecurity>
  <Lines>164</Lines>
  <Paragraphs>46</Paragraphs>
  <ScaleCrop>false</ScaleCrop>
  <Company/>
  <LinksUpToDate>false</LinksUpToDate>
  <CharactersWithSpaces>23110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Петр Кирюхов</cp:lastModifiedBy>
  <cp:revision>18</cp:revision>
  <dcterms:created xsi:type="dcterms:W3CDTF">2017-03-09T13:19:00Z</dcterms:created>
  <dcterms:modified xsi:type="dcterms:W3CDTF">2020-05-05T17:14:00Z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0x010100DE8A49A289C45A47BD117351DBEA2B5C</vt:lpwstr>
  </property>
</Properties>
</file>