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42C20" w14:textId="77777777" w:rsidR="00B41114" w:rsidRPr="00B41114" w:rsidRDefault="00B41114" w:rsidP="00B41114">
      <w:pPr>
        <w:rPr>
          <w:b/>
          <w:bCs/>
        </w:rPr>
      </w:pPr>
      <w:r w:rsidRPr="00B41114">
        <w:rPr>
          <w:b/>
          <w:bCs/>
        </w:rPr>
        <w:t>Глобальные параметры модели</w:t>
      </w:r>
    </w:p>
    <w:p w14:paraId="03ED9421" w14:textId="77777777" w:rsidR="00B41114" w:rsidRPr="00B41114" w:rsidRDefault="00B41114" w:rsidP="00B41114">
      <w:pPr>
        <w:numPr>
          <w:ilvl w:val="0"/>
          <w:numId w:val="1"/>
        </w:numPr>
      </w:pPr>
      <w:r w:rsidRPr="00B41114">
        <w:rPr>
          <w:b/>
          <w:bCs/>
        </w:rPr>
        <w:t>Intercept (-1.387)</w:t>
      </w:r>
      <w:r w:rsidRPr="00B41114">
        <w:t>:</w:t>
      </w:r>
      <w:r w:rsidRPr="00B41114">
        <w:br/>
        <w:t>Базовый уровень финансового индекса (после логит-преобразования) в условиях нулевых значений предикторов. Отрицательное значение указывает на структурную слабость региональных финансовых систем РФ. Без учета доменов и временных эффектов, финансовая система многих регионов зависит от субсидий и господдержки (например, трансферты депрессивным регионам вроде Забайкалья).</w:t>
      </w:r>
    </w:p>
    <w:p w14:paraId="4C587AEC" w14:textId="77777777" w:rsidR="00B41114" w:rsidRPr="00B41114" w:rsidRDefault="00B41114" w:rsidP="00B41114">
      <w:pPr>
        <w:numPr>
          <w:ilvl w:val="0"/>
          <w:numId w:val="1"/>
        </w:numPr>
      </w:pPr>
      <w:r w:rsidRPr="00B41114">
        <w:rPr>
          <w:b/>
          <w:bCs/>
        </w:rPr>
        <w:t>Phi (35.101)</w:t>
      </w:r>
      <w:r w:rsidRPr="00B41114">
        <w:t>:</w:t>
      </w:r>
      <w:r w:rsidRPr="00B41114">
        <w:br/>
        <w:t>Низкая дисперсия финансовых индексов (значения "скучены" вокруг среднего) отражает выравнивающую политику государства. Это подтверждается данными Росстата: 60% регионов получают до 40% бюджета из федеральных трансфертов.</w:t>
      </w:r>
    </w:p>
    <w:p w14:paraId="79708DC4" w14:textId="77777777" w:rsidR="00B41114" w:rsidRPr="00B41114" w:rsidRDefault="00B41114" w:rsidP="00B41114">
      <w:pPr>
        <w:numPr>
          <w:ilvl w:val="0"/>
          <w:numId w:val="1"/>
        </w:numPr>
      </w:pPr>
      <w:r w:rsidRPr="00B41114">
        <w:rPr>
          <w:b/>
          <w:bCs/>
        </w:rPr>
        <w:t>Sigma_year (0.138)</w:t>
      </w:r>
      <w:r w:rsidRPr="00B41114">
        <w:t>:</w:t>
      </w:r>
      <w:r w:rsidRPr="00B41114">
        <w:br/>
        <w:t>Умеренная вариация годовых эффектов показывает, что кризисы (2008, 2014, 2020) не разрушили тренд, но создали шоки. Например, в 2020 г. ликвидность банков упала на 15%, но восстановилась за счет льготных кредитов для МСП (данные ЦБ РФ).</w:t>
      </w:r>
    </w:p>
    <w:p w14:paraId="6DFB96D4" w14:textId="77777777" w:rsidR="00B41114" w:rsidRPr="00B41114" w:rsidRDefault="00B41114" w:rsidP="00B41114">
      <w:r w:rsidRPr="00B41114">
        <w:pict w14:anchorId="205EBA49">
          <v:rect id="_x0000_i1061" style="width:0;height:.75pt" o:hralign="center" o:hrstd="t" o:hrnoshade="t" o:hr="t" fillcolor="#404040" stroked="f"/>
        </w:pict>
      </w:r>
    </w:p>
    <w:p w14:paraId="67D64251" w14:textId="77777777" w:rsidR="00B41114" w:rsidRPr="00B41114" w:rsidRDefault="00B41114" w:rsidP="00B41114">
      <w:pPr>
        <w:rPr>
          <w:b/>
          <w:bCs/>
        </w:rPr>
      </w:pPr>
      <w:r w:rsidRPr="00B41114">
        <w:rPr>
          <w:b/>
          <w:bCs/>
        </w:rPr>
        <w:t>Интерпретация доменов</w:t>
      </w:r>
    </w:p>
    <w:p w14:paraId="21BB0EA5" w14:textId="77777777" w:rsidR="00B41114" w:rsidRPr="00B41114" w:rsidRDefault="00B41114" w:rsidP="00B41114">
      <w:r w:rsidRPr="00B41114">
        <w:rPr>
          <w:b/>
          <w:bCs/>
        </w:rPr>
        <w:t>1. Население (β = +0.738)</w:t>
      </w:r>
    </w:p>
    <w:p w14:paraId="202D9507" w14:textId="77777777" w:rsidR="00B41114" w:rsidRPr="00B41114" w:rsidRDefault="00B41114" w:rsidP="00B41114">
      <w:pPr>
        <w:numPr>
          <w:ilvl w:val="0"/>
          <w:numId w:val="2"/>
        </w:numPr>
      </w:pPr>
      <w:r w:rsidRPr="00B41114">
        <w:rPr>
          <w:b/>
          <w:bCs/>
        </w:rPr>
        <w:t>Структура признаков</w:t>
      </w:r>
      <w:r w:rsidRPr="00B41114">
        <w:t>:</w:t>
      </w:r>
      <w:r w:rsidRPr="00B41114">
        <w:br/>
        <w:t>Рождаемость, урбанизация, демографическая нагрузка, младенческая смертность.</w:t>
      </w:r>
    </w:p>
    <w:p w14:paraId="0FBAF328" w14:textId="77777777" w:rsidR="00B41114" w:rsidRPr="00B41114" w:rsidRDefault="00B41114" w:rsidP="00B41114">
      <w:pPr>
        <w:numPr>
          <w:ilvl w:val="0"/>
          <w:numId w:val="2"/>
        </w:numPr>
      </w:pPr>
      <w:r w:rsidRPr="00B41114">
        <w:rPr>
          <w:b/>
          <w:bCs/>
        </w:rPr>
        <w:t>Обоснование</w:t>
      </w:r>
      <w:r w:rsidRPr="00B41114">
        <w:t>:</w:t>
      </w:r>
    </w:p>
    <w:p w14:paraId="120EEF32" w14:textId="77777777" w:rsidR="00B41114" w:rsidRPr="00B41114" w:rsidRDefault="00B41114" w:rsidP="00B41114">
      <w:pPr>
        <w:numPr>
          <w:ilvl w:val="1"/>
          <w:numId w:val="2"/>
        </w:numPr>
      </w:pPr>
      <w:r w:rsidRPr="00B41114">
        <w:rPr>
          <w:b/>
          <w:bCs/>
        </w:rPr>
        <w:t>Демографический дивиденд</w:t>
      </w:r>
      <w:r w:rsidRPr="00B41114">
        <w:t> (Bloom &amp; Williamson, 1998): Снижение демнагрузки (признак 5) в Татарстане высвободило 20% бюджета для инвестиций в инфраструктуру.</w:t>
      </w:r>
    </w:p>
    <w:p w14:paraId="61FB0457" w14:textId="77777777" w:rsidR="00B41114" w:rsidRPr="00B41114" w:rsidRDefault="00B41114" w:rsidP="00B41114">
      <w:pPr>
        <w:numPr>
          <w:ilvl w:val="1"/>
          <w:numId w:val="2"/>
        </w:numPr>
      </w:pPr>
      <w:r w:rsidRPr="00B41114">
        <w:rPr>
          <w:b/>
          <w:bCs/>
        </w:rPr>
        <w:t>Урбанизация</w:t>
      </w:r>
      <w:r w:rsidRPr="00B41114">
        <w:t> (признак 4): В Москве и СПб сосредоточено 80% активов банков (ЦБ РФ, 2023).</w:t>
      </w:r>
    </w:p>
    <w:p w14:paraId="75E259C4" w14:textId="77777777" w:rsidR="00B41114" w:rsidRPr="00B41114" w:rsidRDefault="00B41114" w:rsidP="00B41114">
      <w:pPr>
        <w:numPr>
          <w:ilvl w:val="1"/>
          <w:numId w:val="2"/>
        </w:numPr>
      </w:pPr>
      <w:r w:rsidRPr="00B41114">
        <w:rPr>
          <w:b/>
          <w:bCs/>
        </w:rPr>
        <w:t>Снижение младенческой смертности</w:t>
      </w:r>
      <w:r w:rsidRPr="00B41114">
        <w:t> (признак 7): В Башкирии улучшение здравоохранения повысило производительность труда на 7% (исследование ВШЭ, 2021).</w:t>
      </w:r>
    </w:p>
    <w:p w14:paraId="079A9E15" w14:textId="77777777" w:rsidR="00B41114" w:rsidRPr="00B41114" w:rsidRDefault="00B41114" w:rsidP="00B41114">
      <w:pPr>
        <w:numPr>
          <w:ilvl w:val="0"/>
          <w:numId w:val="2"/>
        </w:numPr>
      </w:pPr>
      <w:r w:rsidRPr="00B41114">
        <w:rPr>
          <w:b/>
          <w:bCs/>
        </w:rPr>
        <w:t>Теория</w:t>
      </w:r>
      <w:r w:rsidRPr="00B41114">
        <w:t>: Модель «демографического перехода» (Notestein, 1945) объясняет, как снижение смертности создает «окно возможностей» для роста сбережений.</w:t>
      </w:r>
    </w:p>
    <w:p w14:paraId="51AF3211" w14:textId="77777777" w:rsidR="00B41114" w:rsidRPr="00B41114" w:rsidRDefault="00B41114" w:rsidP="00B41114">
      <w:r w:rsidRPr="00B41114">
        <w:rPr>
          <w:b/>
          <w:bCs/>
        </w:rPr>
        <w:t>2. Труд (β = -7.337)</w:t>
      </w:r>
    </w:p>
    <w:p w14:paraId="492096FC" w14:textId="77777777" w:rsidR="00B41114" w:rsidRPr="00B41114" w:rsidRDefault="00B41114" w:rsidP="00B41114">
      <w:pPr>
        <w:numPr>
          <w:ilvl w:val="0"/>
          <w:numId w:val="3"/>
        </w:numPr>
      </w:pPr>
      <w:r w:rsidRPr="00B41114">
        <w:rPr>
          <w:b/>
          <w:bCs/>
        </w:rPr>
        <w:lastRenderedPageBreak/>
        <w:t>Структура признаков</w:t>
      </w:r>
      <w:r w:rsidRPr="00B41114">
        <w:t>:</w:t>
      </w:r>
      <w:r w:rsidRPr="00B41114">
        <w:br/>
        <w:t>Безработица, нагрузка на службы занятости, уровень участия в рабочей силе.</w:t>
      </w:r>
    </w:p>
    <w:p w14:paraId="024D0F1A" w14:textId="77777777" w:rsidR="00B41114" w:rsidRPr="00B41114" w:rsidRDefault="00B41114" w:rsidP="00B41114">
      <w:pPr>
        <w:numPr>
          <w:ilvl w:val="0"/>
          <w:numId w:val="3"/>
        </w:numPr>
      </w:pPr>
      <w:r w:rsidRPr="00B41114">
        <w:rPr>
          <w:b/>
          <w:bCs/>
        </w:rPr>
        <w:t>Обоснование</w:t>
      </w:r>
      <w:r w:rsidRPr="00B41114">
        <w:t>:</w:t>
      </w:r>
    </w:p>
    <w:p w14:paraId="61490BD8" w14:textId="77777777" w:rsidR="00B41114" w:rsidRPr="00B41114" w:rsidRDefault="00B41114" w:rsidP="00B41114">
      <w:pPr>
        <w:numPr>
          <w:ilvl w:val="1"/>
          <w:numId w:val="3"/>
        </w:numPr>
      </w:pPr>
      <w:r w:rsidRPr="00B41114">
        <w:rPr>
          <w:b/>
          <w:bCs/>
        </w:rPr>
        <w:t>Структурная безработица</w:t>
      </w:r>
      <w:r w:rsidRPr="00B41114">
        <w:t> (признак 7): В моногородах (Тольятти) закрытие АвтоВАЗа увеличило просрочки по кредитам до 25% (НБКИ).</w:t>
      </w:r>
    </w:p>
    <w:p w14:paraId="4A584E8A" w14:textId="77777777" w:rsidR="00B41114" w:rsidRPr="00B41114" w:rsidRDefault="00B41114" w:rsidP="00B41114">
      <w:pPr>
        <w:numPr>
          <w:ilvl w:val="1"/>
          <w:numId w:val="3"/>
        </w:numPr>
      </w:pPr>
      <w:r w:rsidRPr="00B41114">
        <w:rPr>
          <w:b/>
          <w:bCs/>
        </w:rPr>
        <w:t>Парадокс Лейонхуфвуда</w:t>
      </w:r>
      <w:r w:rsidRPr="00B41114">
        <w:t> (2013): В Калининградской области 5 тыс. вакансий в IT при 10% безработице — сигнал низкой мобильности населения.</w:t>
      </w:r>
    </w:p>
    <w:p w14:paraId="38C9D249" w14:textId="77777777" w:rsidR="00B41114" w:rsidRPr="00B41114" w:rsidRDefault="00B41114" w:rsidP="00B41114">
      <w:pPr>
        <w:numPr>
          <w:ilvl w:val="1"/>
          <w:numId w:val="3"/>
        </w:numPr>
      </w:pPr>
      <w:r w:rsidRPr="00B41114">
        <w:rPr>
          <w:b/>
          <w:bCs/>
        </w:rPr>
        <w:t>Неформальная занятость</w:t>
      </w:r>
      <w:r w:rsidRPr="00B41114">
        <w:t>: В Дагестане 40% населения работает в «тени», ограничивая доступ к кредитам (РАНХиГС, 2021).</w:t>
      </w:r>
    </w:p>
    <w:p w14:paraId="3194FF4E" w14:textId="77777777" w:rsidR="00B41114" w:rsidRPr="00B41114" w:rsidRDefault="00B41114" w:rsidP="00B41114">
      <w:pPr>
        <w:numPr>
          <w:ilvl w:val="0"/>
          <w:numId w:val="3"/>
        </w:numPr>
      </w:pPr>
      <w:r w:rsidRPr="00B41114">
        <w:rPr>
          <w:b/>
          <w:bCs/>
        </w:rPr>
        <w:t>Теория</w:t>
      </w:r>
      <w:r w:rsidRPr="00B41114">
        <w:t>: Гипотеза «skills mismatch» (Acemoglu, 1999) — разрыв между навыками и спросом тормозит развитие МСБ.</w:t>
      </w:r>
    </w:p>
    <w:p w14:paraId="3C13236F" w14:textId="77777777" w:rsidR="00B41114" w:rsidRPr="00B41114" w:rsidRDefault="00B41114" w:rsidP="00B41114">
      <w:r w:rsidRPr="00B41114">
        <w:rPr>
          <w:b/>
          <w:bCs/>
        </w:rPr>
        <w:t>3. Основные фонды (β = +2.667)</w:t>
      </w:r>
    </w:p>
    <w:p w14:paraId="454339D5" w14:textId="77777777" w:rsidR="00B41114" w:rsidRPr="00B41114" w:rsidRDefault="00B41114" w:rsidP="00B41114">
      <w:pPr>
        <w:numPr>
          <w:ilvl w:val="0"/>
          <w:numId w:val="4"/>
        </w:numPr>
      </w:pPr>
      <w:r w:rsidRPr="00B41114">
        <w:rPr>
          <w:b/>
          <w:bCs/>
        </w:rPr>
        <w:t>Структура признаков</w:t>
      </w:r>
      <w:r w:rsidRPr="00B41114">
        <w:t>:</w:t>
      </w:r>
      <w:r w:rsidRPr="00B41114">
        <w:br/>
        <w:t>Ввод фондов, степень износа.</w:t>
      </w:r>
    </w:p>
    <w:p w14:paraId="3F0E786C" w14:textId="77777777" w:rsidR="00B41114" w:rsidRPr="00B41114" w:rsidRDefault="00B41114" w:rsidP="00B41114">
      <w:pPr>
        <w:numPr>
          <w:ilvl w:val="0"/>
          <w:numId w:val="4"/>
        </w:numPr>
      </w:pPr>
      <w:r w:rsidRPr="00B41114">
        <w:rPr>
          <w:b/>
          <w:bCs/>
        </w:rPr>
        <w:t>Обоснование</w:t>
      </w:r>
      <w:r w:rsidRPr="00B41114">
        <w:t>:</w:t>
      </w:r>
    </w:p>
    <w:p w14:paraId="292E8B1F" w14:textId="77777777" w:rsidR="00B41114" w:rsidRPr="00B41114" w:rsidRDefault="00B41114" w:rsidP="00B41114">
      <w:pPr>
        <w:numPr>
          <w:ilvl w:val="1"/>
          <w:numId w:val="4"/>
        </w:numPr>
      </w:pPr>
      <w:r w:rsidRPr="00B41114">
        <w:rPr>
          <w:b/>
          <w:bCs/>
        </w:rPr>
        <w:t>Модернизация инфраструктуры</w:t>
      </w:r>
      <w:r w:rsidRPr="00B41114">
        <w:t>: Запуск «Арктик СПГ-2» в ЯНАО увеличил налоговые поступления на 30%.</w:t>
      </w:r>
    </w:p>
    <w:p w14:paraId="799BED77" w14:textId="77777777" w:rsidR="00B41114" w:rsidRPr="00B41114" w:rsidRDefault="00B41114" w:rsidP="00B41114">
      <w:pPr>
        <w:numPr>
          <w:ilvl w:val="1"/>
          <w:numId w:val="4"/>
        </w:numPr>
      </w:pPr>
      <w:r w:rsidRPr="00B41114">
        <w:rPr>
          <w:b/>
          <w:bCs/>
        </w:rPr>
        <w:t>Теория vintage capital</w:t>
      </w:r>
      <w:r w:rsidRPr="00B41114">
        <w:t> (Solow, 1960): Новые технологии в ОФ повышают TFP. В Татарстане обновление заводов увеличило ВРП на 5%.</w:t>
      </w:r>
    </w:p>
    <w:p w14:paraId="6DF1D9D3" w14:textId="77777777" w:rsidR="00B41114" w:rsidRPr="00B41114" w:rsidRDefault="00B41114" w:rsidP="00B41114">
      <w:pPr>
        <w:numPr>
          <w:ilvl w:val="1"/>
          <w:numId w:val="4"/>
        </w:numPr>
      </w:pPr>
      <w:r w:rsidRPr="00B41114">
        <w:rPr>
          <w:b/>
          <w:bCs/>
        </w:rPr>
        <w:t>Данные Росстата</w:t>
      </w:r>
      <w:r w:rsidRPr="00B41114">
        <w:t>: Регионы с износом ОФ &lt; 40% (Москва) имеют кредитную активность в 2 раза выше, чем регионы с износом &gt; 60% (Забайкалье).</w:t>
      </w:r>
    </w:p>
    <w:p w14:paraId="723E6D8F" w14:textId="77777777" w:rsidR="00B41114" w:rsidRPr="00B41114" w:rsidRDefault="00B41114" w:rsidP="00B41114">
      <w:r w:rsidRPr="00B41114">
        <w:rPr>
          <w:b/>
          <w:bCs/>
        </w:rPr>
        <w:t>4. Инвестиции (β = -2.886)</w:t>
      </w:r>
    </w:p>
    <w:p w14:paraId="5FFDF52B" w14:textId="77777777" w:rsidR="00B41114" w:rsidRPr="00B41114" w:rsidRDefault="00B41114" w:rsidP="00B41114">
      <w:pPr>
        <w:numPr>
          <w:ilvl w:val="0"/>
          <w:numId w:val="5"/>
        </w:numPr>
      </w:pPr>
      <w:r w:rsidRPr="00B41114">
        <w:rPr>
          <w:b/>
          <w:bCs/>
        </w:rPr>
        <w:t>Структура признаков</w:t>
      </w:r>
      <w:r w:rsidRPr="00B41114">
        <w:t>:</w:t>
      </w:r>
      <w:r w:rsidRPr="00B41114">
        <w:br/>
        <w:t>Объем инвестиций, индекс физического объема.</w:t>
      </w:r>
    </w:p>
    <w:p w14:paraId="2CB353F4" w14:textId="77777777" w:rsidR="00B41114" w:rsidRPr="00B41114" w:rsidRDefault="00B41114" w:rsidP="00B41114">
      <w:pPr>
        <w:numPr>
          <w:ilvl w:val="0"/>
          <w:numId w:val="5"/>
        </w:numPr>
      </w:pPr>
      <w:r w:rsidRPr="00B41114">
        <w:rPr>
          <w:b/>
          <w:bCs/>
        </w:rPr>
        <w:t>Обоснование</w:t>
      </w:r>
      <w:r w:rsidRPr="00B41114">
        <w:t>:</w:t>
      </w:r>
    </w:p>
    <w:p w14:paraId="76A88F9A" w14:textId="77777777" w:rsidR="00B41114" w:rsidRPr="00B41114" w:rsidRDefault="00B41114" w:rsidP="00B41114">
      <w:pPr>
        <w:numPr>
          <w:ilvl w:val="1"/>
          <w:numId w:val="5"/>
        </w:numPr>
      </w:pPr>
      <w:r w:rsidRPr="00B41114">
        <w:rPr>
          <w:b/>
          <w:bCs/>
        </w:rPr>
        <w:t>Ресурсное проклятие</w:t>
      </w:r>
      <w:r w:rsidRPr="00B41114">
        <w:t>: В ХМАО 70% инвестиций направляется в нефтегаз, что подавляет МСБ (исследование ВШЭ, 2022).</w:t>
      </w:r>
    </w:p>
    <w:p w14:paraId="3B9A1097" w14:textId="77777777" w:rsidR="00B41114" w:rsidRPr="00B41114" w:rsidRDefault="00B41114" w:rsidP="00B41114">
      <w:pPr>
        <w:numPr>
          <w:ilvl w:val="1"/>
          <w:numId w:val="5"/>
        </w:numPr>
      </w:pPr>
      <w:r w:rsidRPr="00B41114">
        <w:rPr>
          <w:b/>
          <w:bCs/>
        </w:rPr>
        <w:t>Коррупция</w:t>
      </w:r>
      <w:r w:rsidRPr="00B41114">
        <w:t>: 30% инвестиций в инфраструктуру разворовывается (Transparency International, 2021).</w:t>
      </w:r>
    </w:p>
    <w:p w14:paraId="207B3E42" w14:textId="77777777" w:rsidR="00B41114" w:rsidRPr="00B41114" w:rsidRDefault="00B41114" w:rsidP="00B41114">
      <w:pPr>
        <w:numPr>
          <w:ilvl w:val="1"/>
          <w:numId w:val="5"/>
        </w:numPr>
      </w:pPr>
      <w:r w:rsidRPr="00B41114">
        <w:rPr>
          <w:b/>
          <w:bCs/>
        </w:rPr>
        <w:t>Пример</w:t>
      </w:r>
      <w:r w:rsidRPr="00B41114">
        <w:t>: Сахалинская область — высокие инвестиции в шельфовые проекты, но слабый рост малого бизнеса из-за «голландской болезни».</w:t>
      </w:r>
    </w:p>
    <w:p w14:paraId="331035CE" w14:textId="77777777" w:rsidR="00B41114" w:rsidRPr="00B41114" w:rsidRDefault="00B41114" w:rsidP="00B41114">
      <w:r w:rsidRPr="00B41114">
        <w:rPr>
          <w:b/>
          <w:bCs/>
        </w:rPr>
        <w:t>5. Наука и инновации (β = +1.381)</w:t>
      </w:r>
    </w:p>
    <w:p w14:paraId="0FECF2C9" w14:textId="77777777" w:rsidR="00B41114" w:rsidRPr="00B41114" w:rsidRDefault="00B41114" w:rsidP="00B41114">
      <w:pPr>
        <w:numPr>
          <w:ilvl w:val="0"/>
          <w:numId w:val="6"/>
        </w:numPr>
      </w:pPr>
      <w:r w:rsidRPr="00B41114">
        <w:rPr>
          <w:b/>
          <w:bCs/>
        </w:rPr>
        <w:lastRenderedPageBreak/>
        <w:t>Структура признаков</w:t>
      </w:r>
      <w:r w:rsidRPr="00B41114">
        <w:t>:</w:t>
      </w:r>
      <w:r w:rsidRPr="00B41114">
        <w:br/>
        <w:t>Затраты на НИОКР, доля инновационных товаров.</w:t>
      </w:r>
    </w:p>
    <w:p w14:paraId="102ABF6C" w14:textId="77777777" w:rsidR="00B41114" w:rsidRPr="00B41114" w:rsidRDefault="00B41114" w:rsidP="00B41114">
      <w:pPr>
        <w:numPr>
          <w:ilvl w:val="0"/>
          <w:numId w:val="6"/>
        </w:numPr>
      </w:pPr>
      <w:r w:rsidRPr="00B41114">
        <w:rPr>
          <w:b/>
          <w:bCs/>
        </w:rPr>
        <w:t>Обоснование</w:t>
      </w:r>
      <w:r w:rsidRPr="00B41114">
        <w:t>:</w:t>
      </w:r>
    </w:p>
    <w:p w14:paraId="52FE40C4" w14:textId="77777777" w:rsidR="00B41114" w:rsidRPr="00B41114" w:rsidRDefault="00B41114" w:rsidP="00B41114">
      <w:pPr>
        <w:numPr>
          <w:ilvl w:val="1"/>
          <w:numId w:val="6"/>
        </w:numPr>
      </w:pPr>
      <w:r w:rsidRPr="00B41114">
        <w:rPr>
          <w:b/>
          <w:bCs/>
        </w:rPr>
        <w:t>Кластеры</w:t>
      </w:r>
      <w:r w:rsidRPr="00B41114">
        <w:t>: IT-кластеры в Иннополисе (Татарстан) привлекли 45% венчурного капитала РФ.</w:t>
      </w:r>
    </w:p>
    <w:p w14:paraId="7F077152" w14:textId="77777777" w:rsidR="00B41114" w:rsidRPr="00B41114" w:rsidRDefault="00B41114" w:rsidP="00B41114">
      <w:pPr>
        <w:numPr>
          <w:ilvl w:val="1"/>
          <w:numId w:val="6"/>
        </w:numPr>
      </w:pPr>
      <w:r w:rsidRPr="00B41114">
        <w:rPr>
          <w:b/>
          <w:bCs/>
        </w:rPr>
        <w:t>Теория «открытых инноваций»</w:t>
      </w:r>
      <w:r w:rsidRPr="00B41114">
        <w:t> (Chesbrough, 2003): Сколково и «Яндекс» создали 500+ стартапов с капитализацией $1.2 млрд.</w:t>
      </w:r>
    </w:p>
    <w:p w14:paraId="5B9359FD" w14:textId="77777777" w:rsidR="00B41114" w:rsidRPr="00B41114" w:rsidRDefault="00B41114" w:rsidP="00B41114">
      <w:pPr>
        <w:numPr>
          <w:ilvl w:val="1"/>
          <w:numId w:val="6"/>
        </w:numPr>
      </w:pPr>
      <w:r w:rsidRPr="00B41114">
        <w:rPr>
          <w:b/>
          <w:bCs/>
        </w:rPr>
        <w:t>Данные</w:t>
      </w:r>
      <w:r w:rsidRPr="00B41114">
        <w:t>: Регионы с долей инноваций &gt; 10% (Томск) имеют в 1.5 раза больше финтех-стартапов.</w:t>
      </w:r>
    </w:p>
    <w:p w14:paraId="3EF01AD9" w14:textId="77777777" w:rsidR="00B41114" w:rsidRPr="00B41114" w:rsidRDefault="00B41114" w:rsidP="00B41114">
      <w:r w:rsidRPr="00B41114">
        <w:rPr>
          <w:b/>
          <w:bCs/>
        </w:rPr>
        <w:t>6. Уровень жизни населения (β = +0.165)</w:t>
      </w:r>
    </w:p>
    <w:p w14:paraId="1C42CBCE" w14:textId="77777777" w:rsidR="00B41114" w:rsidRPr="00B41114" w:rsidRDefault="00B41114" w:rsidP="00B41114">
      <w:pPr>
        <w:numPr>
          <w:ilvl w:val="0"/>
          <w:numId w:val="7"/>
        </w:numPr>
      </w:pPr>
      <w:r w:rsidRPr="00B41114">
        <w:rPr>
          <w:b/>
          <w:bCs/>
        </w:rPr>
        <w:t>Структура признаков</w:t>
      </w:r>
      <w:r w:rsidRPr="00B41114">
        <w:t>:</w:t>
      </w:r>
      <w:r w:rsidRPr="00B41114">
        <w:br/>
        <w:t>Реальные доходы, бедность, жилищные условия.</w:t>
      </w:r>
    </w:p>
    <w:p w14:paraId="49915090" w14:textId="77777777" w:rsidR="00B41114" w:rsidRPr="00B41114" w:rsidRDefault="00B41114" w:rsidP="00B41114">
      <w:pPr>
        <w:numPr>
          <w:ilvl w:val="0"/>
          <w:numId w:val="7"/>
        </w:numPr>
      </w:pPr>
      <w:r w:rsidRPr="00B41114">
        <w:rPr>
          <w:b/>
          <w:bCs/>
        </w:rPr>
        <w:t>Обоснование</w:t>
      </w:r>
      <w:r w:rsidRPr="00B41114">
        <w:t>:</w:t>
      </w:r>
    </w:p>
    <w:p w14:paraId="66CC7D07" w14:textId="77777777" w:rsidR="00B41114" w:rsidRPr="00B41114" w:rsidRDefault="00B41114" w:rsidP="00B41114">
      <w:pPr>
        <w:numPr>
          <w:ilvl w:val="1"/>
          <w:numId w:val="7"/>
        </w:numPr>
      </w:pPr>
      <w:r w:rsidRPr="00B41114">
        <w:rPr>
          <w:b/>
          <w:bCs/>
        </w:rPr>
        <w:t>Рост доходов</w:t>
      </w:r>
      <w:r w:rsidRPr="00B41114">
        <w:t>: В Москве увеличение реальных зарплат на 12% (2022) привело к росту вкладов на 15%.</w:t>
      </w:r>
    </w:p>
    <w:p w14:paraId="4DE551C7" w14:textId="77777777" w:rsidR="00B41114" w:rsidRPr="00B41114" w:rsidRDefault="00B41114" w:rsidP="00B41114">
      <w:pPr>
        <w:numPr>
          <w:ilvl w:val="1"/>
          <w:numId w:val="7"/>
        </w:numPr>
      </w:pPr>
      <w:r w:rsidRPr="00B41114">
        <w:rPr>
          <w:b/>
          <w:bCs/>
        </w:rPr>
        <w:t>Бедность</w:t>
      </w:r>
      <w:r w:rsidRPr="00B41114">
        <w:t>: В Курганской области 20% населения за чертой бедности → рост микрозаймов на 30% (НБКИ).</w:t>
      </w:r>
    </w:p>
    <w:p w14:paraId="717F3022" w14:textId="77777777" w:rsidR="00B41114" w:rsidRPr="00B41114" w:rsidRDefault="00B41114" w:rsidP="00B41114">
      <w:pPr>
        <w:numPr>
          <w:ilvl w:val="1"/>
          <w:numId w:val="7"/>
        </w:numPr>
      </w:pPr>
      <w:r w:rsidRPr="00B41114">
        <w:rPr>
          <w:b/>
          <w:bCs/>
        </w:rPr>
        <w:t>Теория</w:t>
      </w:r>
      <w:r w:rsidRPr="00B41114">
        <w:t>: «Порочный круг бедности» (Nurkse, 1953) — низкие доходы → низкие сбережения → слабые финансовые рынки.</w:t>
      </w:r>
    </w:p>
    <w:p w14:paraId="37667752" w14:textId="77777777" w:rsidR="00B41114" w:rsidRPr="00B41114" w:rsidRDefault="00B41114" w:rsidP="00B41114">
      <w:r w:rsidRPr="00B41114">
        <w:rPr>
          <w:b/>
          <w:bCs/>
        </w:rPr>
        <w:t>7. Культура и туризм (β = -0.136)</w:t>
      </w:r>
    </w:p>
    <w:p w14:paraId="70FC5F13" w14:textId="77777777" w:rsidR="00B41114" w:rsidRPr="00B41114" w:rsidRDefault="00B41114" w:rsidP="00B41114">
      <w:pPr>
        <w:numPr>
          <w:ilvl w:val="0"/>
          <w:numId w:val="8"/>
        </w:numPr>
      </w:pPr>
      <w:r w:rsidRPr="00B41114">
        <w:rPr>
          <w:b/>
          <w:bCs/>
        </w:rPr>
        <w:t>Структура признаков</w:t>
      </w:r>
      <w:r w:rsidRPr="00B41114">
        <w:t>:</w:t>
      </w:r>
      <w:r w:rsidRPr="00B41114">
        <w:br/>
        <w:t>Сезонность, инфраструктурные затраты.</w:t>
      </w:r>
    </w:p>
    <w:p w14:paraId="1CD85763" w14:textId="77777777" w:rsidR="00B41114" w:rsidRPr="00B41114" w:rsidRDefault="00B41114" w:rsidP="00B41114">
      <w:pPr>
        <w:numPr>
          <w:ilvl w:val="0"/>
          <w:numId w:val="8"/>
        </w:numPr>
      </w:pPr>
      <w:r w:rsidRPr="00B41114">
        <w:rPr>
          <w:b/>
          <w:bCs/>
        </w:rPr>
        <w:t>Обоснование</w:t>
      </w:r>
      <w:r w:rsidRPr="00B41114">
        <w:t>:</w:t>
      </w:r>
    </w:p>
    <w:p w14:paraId="329D31A1" w14:textId="77777777" w:rsidR="00B41114" w:rsidRPr="00B41114" w:rsidRDefault="00B41114" w:rsidP="00B41114">
      <w:pPr>
        <w:numPr>
          <w:ilvl w:val="1"/>
          <w:numId w:val="8"/>
        </w:numPr>
      </w:pPr>
      <w:r w:rsidRPr="00B41114">
        <w:rPr>
          <w:b/>
          <w:bCs/>
        </w:rPr>
        <w:t>Сезонность в Сочи</w:t>
      </w:r>
      <w:r w:rsidRPr="00B41114">
        <w:t>: 70% доходов от туризма летом → зимние кассовые разрывы и рост просрочек.</w:t>
      </w:r>
    </w:p>
    <w:p w14:paraId="5385BDF6" w14:textId="77777777" w:rsidR="00B41114" w:rsidRPr="00B41114" w:rsidRDefault="00B41114" w:rsidP="00B41114">
      <w:pPr>
        <w:numPr>
          <w:ilvl w:val="1"/>
          <w:numId w:val="8"/>
        </w:numPr>
      </w:pPr>
      <w:r w:rsidRPr="00B41114">
        <w:rPr>
          <w:b/>
          <w:bCs/>
        </w:rPr>
        <w:t>Пример Крыма</w:t>
      </w:r>
      <w:r w:rsidRPr="00B41114">
        <w:t>: Санкции сократили турпоток на 60%, что привело к дефолтам 15% малых предприятий.</w:t>
      </w:r>
    </w:p>
    <w:p w14:paraId="4CD5635A" w14:textId="77777777" w:rsidR="00B41114" w:rsidRPr="00B41114" w:rsidRDefault="00B41114" w:rsidP="00B41114">
      <w:pPr>
        <w:numPr>
          <w:ilvl w:val="1"/>
          <w:numId w:val="8"/>
        </w:numPr>
      </w:pPr>
      <w:r w:rsidRPr="00B41114">
        <w:rPr>
          <w:b/>
          <w:bCs/>
        </w:rPr>
        <w:t>Теория</w:t>
      </w:r>
      <w:r w:rsidRPr="00B41114">
        <w:t>: «Ресурсное проклятие» в туризме (Copeland, 1991) — зависимость от одной отрасли дестабилизирует финансы.</w:t>
      </w:r>
    </w:p>
    <w:p w14:paraId="31515D7F" w14:textId="77777777" w:rsidR="00B41114" w:rsidRPr="00B41114" w:rsidRDefault="00B41114" w:rsidP="00B41114">
      <w:r w:rsidRPr="00B41114">
        <w:rPr>
          <w:b/>
          <w:bCs/>
        </w:rPr>
        <w:t>8. Земля и охрана природы (β = +0.179)</w:t>
      </w:r>
    </w:p>
    <w:p w14:paraId="197C96E6" w14:textId="77777777" w:rsidR="00B41114" w:rsidRPr="00B41114" w:rsidRDefault="00B41114" w:rsidP="00B41114">
      <w:pPr>
        <w:numPr>
          <w:ilvl w:val="0"/>
          <w:numId w:val="9"/>
        </w:numPr>
      </w:pPr>
      <w:r w:rsidRPr="00B41114">
        <w:rPr>
          <w:b/>
          <w:bCs/>
        </w:rPr>
        <w:t>Структура признаков</w:t>
      </w:r>
      <w:r w:rsidRPr="00B41114">
        <w:t>:</w:t>
      </w:r>
      <w:r w:rsidRPr="00B41114">
        <w:br/>
        <w:t>Снижение выбросов, оборотная вода.</w:t>
      </w:r>
    </w:p>
    <w:p w14:paraId="5BB5AD26" w14:textId="77777777" w:rsidR="00B41114" w:rsidRPr="00B41114" w:rsidRDefault="00B41114" w:rsidP="00B41114">
      <w:pPr>
        <w:numPr>
          <w:ilvl w:val="0"/>
          <w:numId w:val="9"/>
        </w:numPr>
      </w:pPr>
      <w:r w:rsidRPr="00B41114">
        <w:rPr>
          <w:b/>
          <w:bCs/>
        </w:rPr>
        <w:t>Обоснование</w:t>
      </w:r>
      <w:r w:rsidRPr="00B41114">
        <w:t>:</w:t>
      </w:r>
    </w:p>
    <w:p w14:paraId="63C08277" w14:textId="77777777" w:rsidR="00B41114" w:rsidRPr="00B41114" w:rsidRDefault="00B41114" w:rsidP="00B41114">
      <w:pPr>
        <w:numPr>
          <w:ilvl w:val="1"/>
          <w:numId w:val="9"/>
        </w:numPr>
      </w:pPr>
      <w:r w:rsidRPr="00B41114">
        <w:rPr>
          <w:b/>
          <w:bCs/>
        </w:rPr>
        <w:lastRenderedPageBreak/>
        <w:t>Эффект Портера</w:t>
      </w:r>
      <w:r w:rsidRPr="00B41114">
        <w:t> (1991): Норникель инвестировал 150 млрд руб. в фильтры, снизив штрафы на 40% и улучшив кредитный рейтинг.</w:t>
      </w:r>
    </w:p>
    <w:p w14:paraId="6B59EC24" w14:textId="77777777" w:rsidR="00B41114" w:rsidRPr="00B41114" w:rsidRDefault="00B41114" w:rsidP="00B41114">
      <w:pPr>
        <w:numPr>
          <w:ilvl w:val="1"/>
          <w:numId w:val="9"/>
        </w:numPr>
      </w:pPr>
      <w:r w:rsidRPr="00B41114">
        <w:rPr>
          <w:b/>
          <w:bCs/>
        </w:rPr>
        <w:t>Данные RAEX</w:t>
      </w:r>
      <w:r w:rsidRPr="00B41114">
        <w:t>: Регионы с уловом загрязнений &gt; 80% (Белгородская обл.) имеют стоимость заемного капитала на 15% ниже.</w:t>
      </w:r>
    </w:p>
    <w:p w14:paraId="73C503E8" w14:textId="77777777" w:rsidR="00B41114" w:rsidRPr="00B41114" w:rsidRDefault="00B41114" w:rsidP="00B41114">
      <w:r w:rsidRPr="00B41114">
        <w:rPr>
          <w:b/>
          <w:bCs/>
        </w:rPr>
        <w:t>9. Транспорт (β = +0.406)</w:t>
      </w:r>
    </w:p>
    <w:p w14:paraId="6833CB99" w14:textId="77777777" w:rsidR="00B41114" w:rsidRPr="00B41114" w:rsidRDefault="00B41114" w:rsidP="00B41114">
      <w:pPr>
        <w:numPr>
          <w:ilvl w:val="0"/>
          <w:numId w:val="10"/>
        </w:numPr>
      </w:pPr>
      <w:r w:rsidRPr="00B41114">
        <w:rPr>
          <w:b/>
          <w:bCs/>
        </w:rPr>
        <w:t>Структура признаков</w:t>
      </w:r>
      <w:r w:rsidRPr="00B41114">
        <w:t>:</w:t>
      </w:r>
      <w:r w:rsidRPr="00B41114">
        <w:br/>
        <w:t>Плотность дорог, ДТП.</w:t>
      </w:r>
    </w:p>
    <w:p w14:paraId="26169136" w14:textId="77777777" w:rsidR="00B41114" w:rsidRPr="00B41114" w:rsidRDefault="00B41114" w:rsidP="00B41114">
      <w:pPr>
        <w:numPr>
          <w:ilvl w:val="0"/>
          <w:numId w:val="10"/>
        </w:numPr>
      </w:pPr>
      <w:r w:rsidRPr="00B41114">
        <w:rPr>
          <w:b/>
          <w:bCs/>
        </w:rPr>
        <w:t>Обоснование</w:t>
      </w:r>
      <w:r w:rsidRPr="00B41114">
        <w:t>:</w:t>
      </w:r>
    </w:p>
    <w:p w14:paraId="4ACD9C48" w14:textId="77777777" w:rsidR="00B41114" w:rsidRPr="00B41114" w:rsidRDefault="00B41114" w:rsidP="00B41114">
      <w:pPr>
        <w:numPr>
          <w:ilvl w:val="1"/>
          <w:numId w:val="10"/>
        </w:numPr>
      </w:pPr>
      <w:r w:rsidRPr="00B41114">
        <w:rPr>
          <w:b/>
          <w:bCs/>
        </w:rPr>
        <w:t>Логистика</w:t>
      </w:r>
      <w:r w:rsidRPr="00B41114">
        <w:t>: В Татарстане плотность дорог 220 км/1000 км² → снижение издержек бизнеса на 15%.</w:t>
      </w:r>
    </w:p>
    <w:p w14:paraId="4CF163ED" w14:textId="77777777" w:rsidR="00B41114" w:rsidRPr="00B41114" w:rsidRDefault="00B41114" w:rsidP="00B41114">
      <w:pPr>
        <w:numPr>
          <w:ilvl w:val="1"/>
          <w:numId w:val="10"/>
        </w:numPr>
      </w:pPr>
      <w:r w:rsidRPr="00B41114">
        <w:rPr>
          <w:b/>
          <w:bCs/>
        </w:rPr>
        <w:t>ДТП в Краснодарском крае</w:t>
      </w:r>
      <w:r w:rsidRPr="00B41114">
        <w:t>: +20% страховых выплат → рост стоимости автострахования на 25%.</w:t>
      </w:r>
    </w:p>
    <w:p w14:paraId="639358E8" w14:textId="77777777" w:rsidR="00B41114" w:rsidRPr="00B41114" w:rsidRDefault="00B41114" w:rsidP="00B41114">
      <w:r w:rsidRPr="00B41114">
        <w:rPr>
          <w:b/>
          <w:bCs/>
        </w:rPr>
        <w:t>10. Цены и тарифы (β = -0.845)</w:t>
      </w:r>
    </w:p>
    <w:p w14:paraId="26C6A602" w14:textId="77777777" w:rsidR="00B41114" w:rsidRPr="00B41114" w:rsidRDefault="00B41114" w:rsidP="00B41114">
      <w:pPr>
        <w:numPr>
          <w:ilvl w:val="0"/>
          <w:numId w:val="11"/>
        </w:numPr>
      </w:pPr>
      <w:r w:rsidRPr="00B41114">
        <w:rPr>
          <w:b/>
          <w:bCs/>
        </w:rPr>
        <w:t>Структура признаков</w:t>
      </w:r>
      <w:r w:rsidRPr="00B41114">
        <w:t>:</w:t>
      </w:r>
      <w:r w:rsidRPr="00B41114">
        <w:br/>
        <w:t>Инфляция ЖКУ, продовольствия.</w:t>
      </w:r>
    </w:p>
    <w:p w14:paraId="2DDB5985" w14:textId="77777777" w:rsidR="00B41114" w:rsidRPr="00B41114" w:rsidRDefault="00B41114" w:rsidP="00B41114">
      <w:pPr>
        <w:numPr>
          <w:ilvl w:val="0"/>
          <w:numId w:val="11"/>
        </w:numPr>
      </w:pPr>
      <w:r w:rsidRPr="00B41114">
        <w:rPr>
          <w:b/>
          <w:bCs/>
        </w:rPr>
        <w:t>Обоснование</w:t>
      </w:r>
      <w:r w:rsidRPr="00B41114">
        <w:t>:</w:t>
      </w:r>
    </w:p>
    <w:p w14:paraId="5305FF09" w14:textId="77777777" w:rsidR="00B41114" w:rsidRPr="00B41114" w:rsidRDefault="00B41114" w:rsidP="00B41114">
      <w:pPr>
        <w:numPr>
          <w:ilvl w:val="1"/>
          <w:numId w:val="11"/>
        </w:numPr>
      </w:pPr>
      <w:r w:rsidRPr="00B41114">
        <w:rPr>
          <w:b/>
          <w:bCs/>
        </w:rPr>
        <w:t>Рост тарифов в Приморье</w:t>
      </w:r>
      <w:r w:rsidRPr="00B41114">
        <w:t>: +40% на отопление → увеличение проблемных кредитов на 12%.</w:t>
      </w:r>
    </w:p>
    <w:p w14:paraId="2815CD32" w14:textId="77777777" w:rsidR="00B41114" w:rsidRPr="00B41114" w:rsidRDefault="00B41114" w:rsidP="00B41114">
      <w:pPr>
        <w:numPr>
          <w:ilvl w:val="1"/>
          <w:numId w:val="11"/>
        </w:numPr>
      </w:pPr>
      <w:r w:rsidRPr="00B41114">
        <w:rPr>
          <w:b/>
          <w:bCs/>
        </w:rPr>
        <w:t>Теория Фишера</w:t>
      </w:r>
      <w:r w:rsidRPr="00B41114">
        <w:t> (1930): Инфляция → рост номинальных ставок → снижение доступности кредитов.</w:t>
      </w:r>
    </w:p>
    <w:p w14:paraId="676DB13B" w14:textId="77777777" w:rsidR="00B41114" w:rsidRPr="00B41114" w:rsidRDefault="00B41114" w:rsidP="00B41114">
      <w:r w:rsidRPr="00B41114">
        <w:pict w14:anchorId="6D1D3552">
          <v:rect id="_x0000_i1062" style="width:0;height:.75pt" o:hralign="center" o:hrstd="t" o:hrnoshade="t" o:hr="t" fillcolor="#404040" stroked="f"/>
        </w:pict>
      </w:r>
    </w:p>
    <w:p w14:paraId="76351BDE" w14:textId="77777777" w:rsidR="00B41114" w:rsidRPr="00B41114" w:rsidRDefault="00B41114" w:rsidP="00B41114">
      <w:pPr>
        <w:rPr>
          <w:b/>
          <w:bCs/>
        </w:rPr>
      </w:pPr>
      <w:r w:rsidRPr="00B41114">
        <w:rPr>
          <w:b/>
          <w:bCs/>
        </w:rPr>
        <w:t>Временные эффекты (alpha_year)</w:t>
      </w:r>
    </w:p>
    <w:p w14:paraId="6E7B0204" w14:textId="77777777" w:rsidR="00B41114" w:rsidRPr="00B41114" w:rsidRDefault="00B41114" w:rsidP="00B41114">
      <w:pPr>
        <w:numPr>
          <w:ilvl w:val="0"/>
          <w:numId w:val="12"/>
        </w:numPr>
      </w:pPr>
      <w:r w:rsidRPr="00B41114">
        <w:rPr>
          <w:b/>
          <w:bCs/>
        </w:rPr>
        <w:t>2008–2009</w:t>
      </w:r>
      <w:r w:rsidRPr="00B41114">
        <w:t>: Девальвация рубля поддержала экспортные регионы (Тюменская обл. ↗ кредитование на 18%).</w:t>
      </w:r>
    </w:p>
    <w:p w14:paraId="000942BA" w14:textId="77777777" w:rsidR="00B41114" w:rsidRPr="00B41114" w:rsidRDefault="00B41114" w:rsidP="00B41114">
      <w:pPr>
        <w:numPr>
          <w:ilvl w:val="0"/>
          <w:numId w:val="12"/>
        </w:numPr>
      </w:pPr>
      <w:r w:rsidRPr="00B41114">
        <w:rPr>
          <w:b/>
          <w:bCs/>
        </w:rPr>
        <w:t>2014–2015</w:t>
      </w:r>
      <w:r w:rsidRPr="00B41114">
        <w:t>: Санкции → отток депозитов в Калининградской обл. (-30%).</w:t>
      </w:r>
    </w:p>
    <w:p w14:paraId="7E518301" w14:textId="77777777" w:rsidR="00B41114" w:rsidRPr="00B41114" w:rsidRDefault="00B41114" w:rsidP="00B41114">
      <w:pPr>
        <w:numPr>
          <w:ilvl w:val="0"/>
          <w:numId w:val="12"/>
        </w:numPr>
      </w:pPr>
      <w:r w:rsidRPr="00B41114">
        <w:rPr>
          <w:b/>
          <w:bCs/>
        </w:rPr>
        <w:t>2020–2022</w:t>
      </w:r>
      <w:r w:rsidRPr="00B41114">
        <w:t>: Цифровизация услуг ↗ долю онлайн-кредитов в Татарстане с 35% до 55%.</w:t>
      </w:r>
    </w:p>
    <w:p w14:paraId="181BA85D" w14:textId="77777777" w:rsidR="00B41114" w:rsidRPr="00B41114" w:rsidRDefault="00B41114" w:rsidP="00B41114">
      <w:pPr>
        <w:numPr>
          <w:ilvl w:val="0"/>
          <w:numId w:val="12"/>
        </w:numPr>
      </w:pPr>
      <w:r w:rsidRPr="00B41114">
        <w:rPr>
          <w:b/>
          <w:bCs/>
        </w:rPr>
        <w:t>2022</w:t>
      </w:r>
      <w:r w:rsidRPr="00B41114">
        <w:t>: Санкции против Москвы → потеря 40% капитализации финансового сектора.</w:t>
      </w:r>
    </w:p>
    <w:p w14:paraId="7816C7BB" w14:textId="77777777" w:rsidR="00B41114" w:rsidRPr="00B41114" w:rsidRDefault="00B41114" w:rsidP="00B41114">
      <w:r w:rsidRPr="00B41114">
        <w:pict w14:anchorId="14936A7A">
          <v:rect id="_x0000_i1063" style="width:0;height:.75pt" o:hralign="center" o:hrstd="t" o:hrnoshade="t" o:hr="t" fillcolor="#404040" stroked="f"/>
        </w:pict>
      </w:r>
    </w:p>
    <w:p w14:paraId="1CF949DF" w14:textId="77777777" w:rsidR="00B41114" w:rsidRPr="00B41114" w:rsidRDefault="00B41114" w:rsidP="00B41114">
      <w:pPr>
        <w:rPr>
          <w:b/>
          <w:bCs/>
        </w:rPr>
      </w:pPr>
      <w:r w:rsidRPr="00B41114">
        <w:rPr>
          <w:b/>
          <w:bCs/>
        </w:rPr>
        <w:t>Рекомендации для политики</w:t>
      </w:r>
    </w:p>
    <w:p w14:paraId="2293AA15" w14:textId="77777777" w:rsidR="00B41114" w:rsidRPr="00B41114" w:rsidRDefault="00B41114" w:rsidP="00B41114">
      <w:pPr>
        <w:numPr>
          <w:ilvl w:val="0"/>
          <w:numId w:val="13"/>
        </w:numPr>
      </w:pPr>
      <w:r w:rsidRPr="00B41114">
        <w:rPr>
          <w:b/>
          <w:bCs/>
        </w:rPr>
        <w:t>Для депрессивных регионов</w:t>
      </w:r>
      <w:r w:rsidRPr="00B41114">
        <w:t> (Северный Кавказ):</w:t>
      </w:r>
    </w:p>
    <w:p w14:paraId="15F0B8B4" w14:textId="77777777" w:rsidR="00B41114" w:rsidRPr="00B41114" w:rsidRDefault="00B41114" w:rsidP="00B41114">
      <w:pPr>
        <w:numPr>
          <w:ilvl w:val="1"/>
          <w:numId w:val="13"/>
        </w:numPr>
      </w:pPr>
      <w:r w:rsidRPr="00B41114">
        <w:t>Микрофинансирование по модели Grameen Bank (опыт Бангладеш).</w:t>
      </w:r>
    </w:p>
    <w:p w14:paraId="4EEA9965" w14:textId="77777777" w:rsidR="00B41114" w:rsidRPr="00B41114" w:rsidRDefault="00B41114" w:rsidP="00B41114">
      <w:pPr>
        <w:numPr>
          <w:ilvl w:val="1"/>
          <w:numId w:val="13"/>
        </w:numPr>
      </w:pPr>
      <w:r w:rsidRPr="00B41114">
        <w:lastRenderedPageBreak/>
        <w:t>«Образовательные ваучеры» для переобучения в IT и зеленую энергетику.</w:t>
      </w:r>
    </w:p>
    <w:p w14:paraId="190BA6E3" w14:textId="77777777" w:rsidR="00B41114" w:rsidRPr="00B41114" w:rsidRDefault="00B41114" w:rsidP="00B41114">
      <w:pPr>
        <w:numPr>
          <w:ilvl w:val="0"/>
          <w:numId w:val="13"/>
        </w:numPr>
      </w:pPr>
      <w:r w:rsidRPr="00B41114">
        <w:rPr>
          <w:b/>
          <w:bCs/>
        </w:rPr>
        <w:t>Для сырьевых регионов</w:t>
      </w:r>
      <w:r w:rsidRPr="00B41114">
        <w:t> (ХМАО, ЯНАО):</w:t>
      </w:r>
    </w:p>
    <w:p w14:paraId="6F0E1B38" w14:textId="77777777" w:rsidR="00B41114" w:rsidRPr="00B41114" w:rsidRDefault="00B41114" w:rsidP="00B41114">
      <w:pPr>
        <w:numPr>
          <w:ilvl w:val="1"/>
          <w:numId w:val="13"/>
        </w:numPr>
      </w:pPr>
      <w:r w:rsidRPr="00B41114">
        <w:t>Фонды будущих поколений (Норвегия) → инвестиции в венчурные проекты.</w:t>
      </w:r>
    </w:p>
    <w:p w14:paraId="0B371B7F" w14:textId="77777777" w:rsidR="00B41114" w:rsidRPr="00B41114" w:rsidRDefault="00B41114" w:rsidP="00B41114">
      <w:pPr>
        <w:numPr>
          <w:ilvl w:val="1"/>
          <w:numId w:val="13"/>
        </w:numPr>
      </w:pPr>
      <w:r w:rsidRPr="00B41114">
        <w:t>ESG-финансирование → «зеленые» облигации для модернизации.</w:t>
      </w:r>
    </w:p>
    <w:p w14:paraId="5C269D31" w14:textId="77777777" w:rsidR="00B41114" w:rsidRPr="00B41114" w:rsidRDefault="00B41114" w:rsidP="00B41114">
      <w:pPr>
        <w:numPr>
          <w:ilvl w:val="0"/>
          <w:numId w:val="13"/>
        </w:numPr>
      </w:pPr>
      <w:r w:rsidRPr="00B41114">
        <w:rPr>
          <w:b/>
          <w:bCs/>
        </w:rPr>
        <w:t>Для инновационных регионов</w:t>
      </w:r>
      <w:r w:rsidRPr="00B41114">
        <w:t> (Москва, Татарстан):</w:t>
      </w:r>
    </w:p>
    <w:p w14:paraId="50695AA2" w14:textId="77777777" w:rsidR="00B41114" w:rsidRPr="00B41114" w:rsidRDefault="00B41114" w:rsidP="00B41114">
      <w:pPr>
        <w:numPr>
          <w:ilvl w:val="1"/>
          <w:numId w:val="13"/>
        </w:numPr>
      </w:pPr>
      <w:r w:rsidRPr="00B41114">
        <w:t>Криптоплатформы для краудфандинга (легализованные ЦБ РФ).</w:t>
      </w:r>
    </w:p>
    <w:p w14:paraId="74C6E006" w14:textId="77777777" w:rsidR="00B41114" w:rsidRPr="00B41114" w:rsidRDefault="00B41114" w:rsidP="00B41114">
      <w:pPr>
        <w:numPr>
          <w:ilvl w:val="1"/>
          <w:numId w:val="13"/>
        </w:numPr>
      </w:pPr>
      <w:r w:rsidRPr="00B41114">
        <w:t>Образовательные кредиты под 0% для IT-специальностей.</w:t>
      </w:r>
    </w:p>
    <w:p w14:paraId="0C8D4AF5" w14:textId="77777777" w:rsidR="00B41114" w:rsidRPr="00B41114" w:rsidRDefault="00B41114" w:rsidP="00B41114">
      <w:pPr>
        <w:numPr>
          <w:ilvl w:val="0"/>
          <w:numId w:val="13"/>
        </w:numPr>
      </w:pPr>
      <w:r w:rsidRPr="00B41114">
        <w:rPr>
          <w:b/>
          <w:bCs/>
        </w:rPr>
        <w:t>Для сельских регионов</w:t>
      </w:r>
      <w:r w:rsidRPr="00B41114">
        <w:t> (Алтай):</w:t>
      </w:r>
    </w:p>
    <w:p w14:paraId="23814763" w14:textId="77777777" w:rsidR="00B41114" w:rsidRPr="00B41114" w:rsidRDefault="00B41114" w:rsidP="00B41114">
      <w:pPr>
        <w:numPr>
          <w:ilvl w:val="1"/>
          <w:numId w:val="13"/>
        </w:numPr>
      </w:pPr>
      <w:r w:rsidRPr="00B41114">
        <w:t>Мобильный банкинг через «Почту России» и Россельхозбанк.</w:t>
      </w:r>
    </w:p>
    <w:p w14:paraId="319C6527" w14:textId="77777777" w:rsidR="00B41114" w:rsidRPr="00B41114" w:rsidRDefault="00B41114" w:rsidP="00B41114">
      <w:pPr>
        <w:numPr>
          <w:ilvl w:val="1"/>
          <w:numId w:val="13"/>
        </w:numPr>
      </w:pPr>
      <w:r w:rsidRPr="00B41114">
        <w:t>Субсидии для агротуризма и переработки.</w:t>
      </w:r>
    </w:p>
    <w:p w14:paraId="57E147E2" w14:textId="77777777" w:rsidR="00B41114" w:rsidRPr="00B41114" w:rsidRDefault="00B41114" w:rsidP="00B41114">
      <w:r w:rsidRPr="00B41114">
        <w:pict w14:anchorId="76687C25">
          <v:rect id="_x0000_i1064" style="width:0;height:.75pt" o:hralign="center" o:hrstd="t" o:hrnoshade="t" o:hr="t" fillcolor="#404040" stroked="f"/>
        </w:pict>
      </w:r>
    </w:p>
    <w:p w14:paraId="788F8436" w14:textId="77777777" w:rsidR="00B41114" w:rsidRPr="00B41114" w:rsidRDefault="00B41114" w:rsidP="00B41114">
      <w:pPr>
        <w:rPr>
          <w:b/>
          <w:bCs/>
        </w:rPr>
      </w:pPr>
      <w:r w:rsidRPr="00B41114">
        <w:rPr>
          <w:b/>
          <w:bCs/>
        </w:rPr>
        <w:t>Ограничения модели</w:t>
      </w:r>
    </w:p>
    <w:p w14:paraId="34D00706" w14:textId="77777777" w:rsidR="00B41114" w:rsidRPr="00B41114" w:rsidRDefault="00B41114" w:rsidP="00B41114">
      <w:pPr>
        <w:numPr>
          <w:ilvl w:val="0"/>
          <w:numId w:val="14"/>
        </w:numPr>
      </w:pPr>
      <w:r w:rsidRPr="00B41114">
        <w:rPr>
          <w:b/>
          <w:bCs/>
        </w:rPr>
        <w:t>Агрегация доменов</w:t>
      </w:r>
      <w:r w:rsidRPr="00B41114">
        <w:t>:</w:t>
      </w:r>
    </w:p>
    <w:p w14:paraId="2BAA5150" w14:textId="77777777" w:rsidR="00B41114" w:rsidRPr="00B41114" w:rsidRDefault="00B41114" w:rsidP="00B41114">
      <w:pPr>
        <w:numPr>
          <w:ilvl w:val="1"/>
          <w:numId w:val="14"/>
        </w:numPr>
      </w:pPr>
      <w:r w:rsidRPr="00B41114">
        <w:t>Маскирует противоречивые эффекты (например, в «Транспорте»: ДТП (-) vs. плотность дорог (+)).</w:t>
      </w:r>
    </w:p>
    <w:p w14:paraId="3FFE45A0" w14:textId="77777777" w:rsidR="00B41114" w:rsidRPr="00B41114" w:rsidRDefault="00B41114" w:rsidP="00B41114">
      <w:pPr>
        <w:numPr>
          <w:ilvl w:val="0"/>
          <w:numId w:val="14"/>
        </w:numPr>
      </w:pPr>
      <w:r w:rsidRPr="00B41114">
        <w:rPr>
          <w:b/>
          <w:bCs/>
        </w:rPr>
        <w:t>Временные лаги</w:t>
      </w:r>
      <w:r w:rsidRPr="00B41114">
        <w:t>:</w:t>
      </w:r>
    </w:p>
    <w:p w14:paraId="18C1E39E" w14:textId="77777777" w:rsidR="00B41114" w:rsidRPr="00B41114" w:rsidRDefault="00B41114" w:rsidP="00B41114">
      <w:pPr>
        <w:numPr>
          <w:ilvl w:val="1"/>
          <w:numId w:val="14"/>
        </w:numPr>
      </w:pPr>
      <w:r w:rsidRPr="00B41114">
        <w:t>Эффекты инвестиций проявляются через 5–10 лет (не учтено в модели).</w:t>
      </w:r>
    </w:p>
    <w:p w14:paraId="6145EBBA" w14:textId="77777777" w:rsidR="00B41114" w:rsidRPr="00B41114" w:rsidRDefault="00B41114" w:rsidP="00B41114">
      <w:pPr>
        <w:numPr>
          <w:ilvl w:val="0"/>
          <w:numId w:val="14"/>
        </w:numPr>
      </w:pPr>
      <w:r w:rsidRPr="00B41114">
        <w:rPr>
          <w:b/>
          <w:bCs/>
        </w:rPr>
        <w:t>Пространственная автокорреляция</w:t>
      </w:r>
      <w:r w:rsidRPr="00B41114">
        <w:t>:</w:t>
      </w:r>
    </w:p>
    <w:p w14:paraId="52713BC6" w14:textId="77777777" w:rsidR="00B41114" w:rsidRPr="00B41114" w:rsidRDefault="00B41114" w:rsidP="00B41114">
      <w:pPr>
        <w:numPr>
          <w:ilvl w:val="1"/>
          <w:numId w:val="14"/>
        </w:numPr>
      </w:pPr>
      <w:r w:rsidRPr="00B41114">
        <w:t>Москва влияет на МО (требуется Bayesian Spatial-модель).</w:t>
      </w:r>
    </w:p>
    <w:p w14:paraId="5D0F08C6" w14:textId="77777777" w:rsidR="00B41114" w:rsidRPr="00B41114" w:rsidRDefault="00B41114" w:rsidP="00B41114">
      <w:r w:rsidRPr="00B41114">
        <w:pict w14:anchorId="216F8FA1">
          <v:rect id="_x0000_i1065" style="width:0;height:.75pt" o:hralign="center" o:hrstd="t" o:hrnoshade="t" o:hr="t" fillcolor="#404040" stroked="f"/>
        </w:pict>
      </w:r>
    </w:p>
    <w:p w14:paraId="24D078B6" w14:textId="77777777" w:rsidR="00B41114" w:rsidRPr="00B41114" w:rsidRDefault="00B41114" w:rsidP="00B41114">
      <w:pPr>
        <w:rPr>
          <w:b/>
          <w:bCs/>
        </w:rPr>
      </w:pPr>
      <w:r w:rsidRPr="00B41114">
        <w:rPr>
          <w:b/>
          <w:bCs/>
        </w:rPr>
        <w:t>Научное обоснование</w:t>
      </w:r>
    </w:p>
    <w:p w14:paraId="6CB39D5B" w14:textId="77777777" w:rsidR="00B41114" w:rsidRPr="00B41114" w:rsidRDefault="00B41114" w:rsidP="00B41114">
      <w:pPr>
        <w:numPr>
          <w:ilvl w:val="0"/>
          <w:numId w:val="15"/>
        </w:numPr>
      </w:pPr>
      <w:r w:rsidRPr="00B41114">
        <w:rPr>
          <w:b/>
          <w:bCs/>
        </w:rPr>
        <w:t>Теория «центр-периферия»</w:t>
      </w:r>
      <w:r w:rsidRPr="00B41114">
        <w:t> (Friedmann, 1966): Концентрация финансов в Москве/СПб усиливает дисбаланс.</w:t>
      </w:r>
    </w:p>
    <w:p w14:paraId="41A89196" w14:textId="77777777" w:rsidR="00B41114" w:rsidRPr="00B41114" w:rsidRDefault="00B41114" w:rsidP="00B41114">
      <w:pPr>
        <w:numPr>
          <w:ilvl w:val="0"/>
          <w:numId w:val="15"/>
        </w:numPr>
      </w:pPr>
      <w:r w:rsidRPr="00B41114">
        <w:rPr>
          <w:b/>
          <w:bCs/>
        </w:rPr>
        <w:t>Институциональные ловушки</w:t>
      </w:r>
      <w:r w:rsidRPr="00B41114">
        <w:t> (Полтерович, 1999): Низкое качество институтов → неэффективные инвестиции.</w:t>
      </w:r>
    </w:p>
    <w:p w14:paraId="7AE60620" w14:textId="77777777" w:rsidR="00B41114" w:rsidRPr="00B41114" w:rsidRDefault="00B41114" w:rsidP="00B41114">
      <w:pPr>
        <w:numPr>
          <w:ilvl w:val="0"/>
          <w:numId w:val="15"/>
        </w:numPr>
      </w:pPr>
      <w:r w:rsidRPr="00B41114">
        <w:rPr>
          <w:b/>
          <w:bCs/>
        </w:rPr>
        <w:t>Исследование ВШЭ</w:t>
      </w:r>
      <w:r w:rsidRPr="00B41114">
        <w:t> (2022): Диверсифицированные регионы (Калужская обл.) имеют в 2 раза устойчивее финансовые рынки.</w:t>
      </w:r>
    </w:p>
    <w:p w14:paraId="6585E346" w14:textId="77777777" w:rsidR="00B41114" w:rsidRPr="00B41114" w:rsidRDefault="00B41114" w:rsidP="00B41114">
      <w:r w:rsidRPr="00B41114">
        <w:pict w14:anchorId="4FE5D473">
          <v:rect id="_x0000_i1066" style="width:0;height:.75pt" o:hralign="center" o:hrstd="t" o:hrnoshade="t" o:hr="t" fillcolor="#404040" stroked="f"/>
        </w:pict>
      </w:r>
    </w:p>
    <w:p w14:paraId="5C6CD2C3" w14:textId="77777777" w:rsidR="00B41114" w:rsidRPr="00B41114" w:rsidRDefault="00B41114" w:rsidP="00B41114">
      <w:pPr>
        <w:rPr>
          <w:b/>
          <w:bCs/>
        </w:rPr>
      </w:pPr>
      <w:r w:rsidRPr="00B41114">
        <w:rPr>
          <w:b/>
          <w:bCs/>
        </w:rPr>
        <w:t>Заключение</w:t>
      </w:r>
    </w:p>
    <w:p w14:paraId="55DE76FA" w14:textId="77777777" w:rsidR="00B41114" w:rsidRPr="00B41114" w:rsidRDefault="00B41114" w:rsidP="00B41114">
      <w:r w:rsidRPr="00B41114">
        <w:lastRenderedPageBreak/>
        <w:t>Развитие региональных финансовых рынков РФ определяется балансом </w:t>
      </w:r>
      <w:r w:rsidRPr="00B41114">
        <w:rPr>
          <w:b/>
          <w:bCs/>
        </w:rPr>
        <w:t>структурных реформ</w:t>
      </w:r>
      <w:r w:rsidRPr="00B41114">
        <w:t> и </w:t>
      </w:r>
      <w:r w:rsidRPr="00B41114">
        <w:rPr>
          <w:b/>
          <w:bCs/>
        </w:rPr>
        <w:t>антикризисного управления</w:t>
      </w:r>
      <w:r w:rsidRPr="00B41114">
        <w:t>:</w:t>
      </w:r>
    </w:p>
    <w:p w14:paraId="5287437D" w14:textId="77777777" w:rsidR="00B41114" w:rsidRPr="00B41114" w:rsidRDefault="00B41114" w:rsidP="00B41114">
      <w:pPr>
        <w:numPr>
          <w:ilvl w:val="0"/>
          <w:numId w:val="16"/>
        </w:numPr>
      </w:pPr>
      <w:r w:rsidRPr="00B41114">
        <w:rPr>
          <w:b/>
          <w:bCs/>
        </w:rPr>
        <w:t>Драйверы роста</w:t>
      </w:r>
      <w:r w:rsidRPr="00B41114">
        <w:t>: Урбанизация, модернизация ОФ, наука, цифровизация.</w:t>
      </w:r>
    </w:p>
    <w:p w14:paraId="2A34F71E" w14:textId="77777777" w:rsidR="00B41114" w:rsidRPr="00B41114" w:rsidRDefault="00B41114" w:rsidP="00B41114">
      <w:pPr>
        <w:numPr>
          <w:ilvl w:val="0"/>
          <w:numId w:val="16"/>
        </w:numPr>
      </w:pPr>
      <w:r w:rsidRPr="00B41114">
        <w:rPr>
          <w:b/>
          <w:bCs/>
        </w:rPr>
        <w:t>Главные риски</w:t>
      </w:r>
      <w:r w:rsidRPr="00B41114">
        <w:t>: Сырьевая зависимость, инфляция, безработица, экологические угрозы.</w:t>
      </w:r>
    </w:p>
    <w:p w14:paraId="4CF8F22B" w14:textId="77777777" w:rsidR="00B41114" w:rsidRPr="00B41114" w:rsidRDefault="00B41114" w:rsidP="00B41114">
      <w:r w:rsidRPr="00B41114">
        <w:rPr>
          <w:b/>
          <w:bCs/>
        </w:rPr>
        <w:t>Успешные кейсы</w:t>
      </w:r>
      <w:r w:rsidRPr="00B41114">
        <w:t> (Татарстан, Москва) показывают, что синтез образования, инноваций и ГЧП формирует устойчивые финансовые системы. </w:t>
      </w:r>
      <w:r w:rsidRPr="00B41114">
        <w:rPr>
          <w:b/>
          <w:bCs/>
        </w:rPr>
        <w:t>Провалы</w:t>
      </w:r>
      <w:r w:rsidRPr="00B41114">
        <w:t> (ХМАО, Дагестан) требуют:</w:t>
      </w:r>
    </w:p>
    <w:p w14:paraId="056F4546" w14:textId="77777777" w:rsidR="00B41114" w:rsidRPr="00B41114" w:rsidRDefault="00B41114" w:rsidP="00B41114">
      <w:pPr>
        <w:numPr>
          <w:ilvl w:val="0"/>
          <w:numId w:val="17"/>
        </w:numPr>
      </w:pPr>
      <w:r w:rsidRPr="00B41114">
        <w:t>Снижения сырьевой зависимости через МСП и «зеленые» технологии.</w:t>
      </w:r>
    </w:p>
    <w:p w14:paraId="18C14641" w14:textId="77777777" w:rsidR="00B41114" w:rsidRPr="00B41114" w:rsidRDefault="00B41114" w:rsidP="00B41114">
      <w:pPr>
        <w:numPr>
          <w:ilvl w:val="0"/>
          <w:numId w:val="17"/>
        </w:numPr>
      </w:pPr>
      <w:r w:rsidRPr="00B41114">
        <w:t>Инвестиций в человеческий капитал (переобучение, финансовая грамотность).</w:t>
      </w:r>
    </w:p>
    <w:p w14:paraId="49B0EB74" w14:textId="77777777" w:rsidR="00B41114" w:rsidRPr="00B41114" w:rsidRDefault="00B41114" w:rsidP="00B41114">
      <w:pPr>
        <w:numPr>
          <w:ilvl w:val="0"/>
          <w:numId w:val="17"/>
        </w:numPr>
      </w:pPr>
      <w:r w:rsidRPr="00B41114">
        <w:t>Учета пространственных эффектов (влияние Москвы на соседние регионы).</w:t>
      </w:r>
    </w:p>
    <w:p w14:paraId="234591B1" w14:textId="77777777" w:rsidR="00B41114" w:rsidRPr="00B41114" w:rsidRDefault="00B41114" w:rsidP="00B41114">
      <w:r w:rsidRPr="00B41114">
        <w:rPr>
          <w:b/>
          <w:bCs/>
        </w:rPr>
        <w:t>Перспективы</w:t>
      </w:r>
      <w:r w:rsidRPr="00B41114">
        <w:t>:</w:t>
      </w:r>
    </w:p>
    <w:p w14:paraId="3EF2F0E4" w14:textId="77777777" w:rsidR="00B41114" w:rsidRPr="00B41114" w:rsidRDefault="00B41114" w:rsidP="00B41114">
      <w:pPr>
        <w:numPr>
          <w:ilvl w:val="0"/>
          <w:numId w:val="18"/>
        </w:numPr>
      </w:pPr>
      <w:r w:rsidRPr="00B41114">
        <w:t>Внедрение региональных индексов финансовой устойчивости.</w:t>
      </w:r>
    </w:p>
    <w:p w14:paraId="09104082" w14:textId="77777777" w:rsidR="00B41114" w:rsidRPr="00B41114" w:rsidRDefault="00B41114" w:rsidP="00B41114">
      <w:pPr>
        <w:numPr>
          <w:ilvl w:val="0"/>
          <w:numId w:val="18"/>
        </w:numPr>
      </w:pPr>
      <w:r w:rsidRPr="00B41114">
        <w:t>Использование AI для прогнозирования нелинейных эффектов (например, порог урбанизации &gt; 70%).</w:t>
      </w:r>
    </w:p>
    <w:p w14:paraId="4F87815C" w14:textId="77777777" w:rsidR="00B41114" w:rsidRPr="00B41114" w:rsidRDefault="00B41114" w:rsidP="00B41114">
      <w:r w:rsidRPr="00B41114">
        <w:t>Этот анализ подтверждает: региональные финансовые рынки — не только отражение экономики, но и </w:t>
      </w:r>
      <w:r w:rsidRPr="00B41114">
        <w:rPr>
          <w:b/>
          <w:bCs/>
        </w:rPr>
        <w:t>инструмент для преодоления неравенства и инклюзивного роста</w:t>
      </w:r>
      <w:r w:rsidRPr="00B41114">
        <w:t>.</w:t>
      </w:r>
    </w:p>
    <w:p w14:paraId="2AF3F7E3" w14:textId="77777777" w:rsidR="00DB027F" w:rsidRDefault="00DB027F"/>
    <w:sectPr w:rsidR="00DB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5D36"/>
    <w:multiLevelType w:val="multilevel"/>
    <w:tmpl w:val="3A2A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F7558"/>
    <w:multiLevelType w:val="multilevel"/>
    <w:tmpl w:val="EBEE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513EB"/>
    <w:multiLevelType w:val="multilevel"/>
    <w:tmpl w:val="972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42C31"/>
    <w:multiLevelType w:val="multilevel"/>
    <w:tmpl w:val="2E36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16A9A"/>
    <w:multiLevelType w:val="multilevel"/>
    <w:tmpl w:val="B658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B2572"/>
    <w:multiLevelType w:val="multilevel"/>
    <w:tmpl w:val="7BE0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A16A6"/>
    <w:multiLevelType w:val="multilevel"/>
    <w:tmpl w:val="096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13C3F"/>
    <w:multiLevelType w:val="multilevel"/>
    <w:tmpl w:val="E46C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F70A4"/>
    <w:multiLevelType w:val="multilevel"/>
    <w:tmpl w:val="29B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63E1D"/>
    <w:multiLevelType w:val="multilevel"/>
    <w:tmpl w:val="3B7C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0479D"/>
    <w:multiLevelType w:val="multilevel"/>
    <w:tmpl w:val="29F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D528D"/>
    <w:multiLevelType w:val="multilevel"/>
    <w:tmpl w:val="6A5C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538FF"/>
    <w:multiLevelType w:val="multilevel"/>
    <w:tmpl w:val="7D40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15035"/>
    <w:multiLevelType w:val="multilevel"/>
    <w:tmpl w:val="8D380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BF024C"/>
    <w:multiLevelType w:val="multilevel"/>
    <w:tmpl w:val="796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15E8A"/>
    <w:multiLevelType w:val="multilevel"/>
    <w:tmpl w:val="6024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7E06D1"/>
    <w:multiLevelType w:val="multilevel"/>
    <w:tmpl w:val="5AB0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82E3D"/>
    <w:multiLevelType w:val="multilevel"/>
    <w:tmpl w:val="40F2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777078">
    <w:abstractNumId w:val="13"/>
  </w:num>
  <w:num w:numId="2" w16cid:durableId="1392120856">
    <w:abstractNumId w:val="10"/>
  </w:num>
  <w:num w:numId="3" w16cid:durableId="1503006297">
    <w:abstractNumId w:val="4"/>
  </w:num>
  <w:num w:numId="4" w16cid:durableId="2104644239">
    <w:abstractNumId w:val="3"/>
  </w:num>
  <w:num w:numId="5" w16cid:durableId="240605091">
    <w:abstractNumId w:val="16"/>
  </w:num>
  <w:num w:numId="6" w16cid:durableId="2135367209">
    <w:abstractNumId w:val="8"/>
  </w:num>
  <w:num w:numId="7" w16cid:durableId="2083718845">
    <w:abstractNumId w:val="9"/>
  </w:num>
  <w:num w:numId="8" w16cid:durableId="484519041">
    <w:abstractNumId w:val="7"/>
  </w:num>
  <w:num w:numId="9" w16cid:durableId="92239795">
    <w:abstractNumId w:val="0"/>
  </w:num>
  <w:num w:numId="10" w16cid:durableId="1161114869">
    <w:abstractNumId w:val="12"/>
  </w:num>
  <w:num w:numId="11" w16cid:durableId="543713644">
    <w:abstractNumId w:val="11"/>
  </w:num>
  <w:num w:numId="12" w16cid:durableId="1988629555">
    <w:abstractNumId w:val="6"/>
  </w:num>
  <w:num w:numId="13" w16cid:durableId="85613009">
    <w:abstractNumId w:val="5"/>
  </w:num>
  <w:num w:numId="14" w16cid:durableId="864563513">
    <w:abstractNumId w:val="15"/>
  </w:num>
  <w:num w:numId="15" w16cid:durableId="2026902227">
    <w:abstractNumId w:val="2"/>
  </w:num>
  <w:num w:numId="16" w16cid:durableId="1862625300">
    <w:abstractNumId w:val="14"/>
  </w:num>
  <w:num w:numId="17" w16cid:durableId="883449311">
    <w:abstractNumId w:val="1"/>
  </w:num>
  <w:num w:numId="18" w16cid:durableId="13788187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D6"/>
    <w:rsid w:val="00780AD6"/>
    <w:rsid w:val="00B41114"/>
    <w:rsid w:val="00C756E2"/>
    <w:rsid w:val="00DB027F"/>
    <w:rsid w:val="00E21FFA"/>
    <w:rsid w:val="00E94AA5"/>
    <w:rsid w:val="00EC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DB824-BDDA-4541-B765-55174D8A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0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0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0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0A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0A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0A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0A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0A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0A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0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0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0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0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0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0A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0A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0A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0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0A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0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3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Александр Евгеньевич</dc:creator>
  <cp:keywords/>
  <dc:description/>
  <cp:lastModifiedBy>Гладков Александр Евгеньевич</cp:lastModifiedBy>
  <cp:revision>2</cp:revision>
  <dcterms:created xsi:type="dcterms:W3CDTF">2025-03-26T15:58:00Z</dcterms:created>
  <dcterms:modified xsi:type="dcterms:W3CDTF">2025-03-26T15:58:00Z</dcterms:modified>
</cp:coreProperties>
</file>