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0B87" w14:textId="07051419" w:rsidR="00DB027F" w:rsidRDefault="0061093C">
      <w:r w:rsidRPr="0061093C">
        <w:t xml:space="preserve">Хорошо, теперь давай объеденим информацию из этого и сделай финальный вывод - он должен быть большим и информативным: Глобальные параметры модели 1. Intercept (-1.387): Базовый уровень финансового индекса (после логит-преобразования) в условиях нулевых значений всех предикторов. Отрицательное значение указывает на то, что без учета доменов и временных эффектов "базовое состояние" финансового сектора неоптимально. Это согласуется с реальностью многих регионов РФ, где финансовая система зависит от субсидий и господдержки. 2. Phi (35.101): Высокий параметр концентрации бета-распределения говорит о низкой дисперсии целевой переменной — финансовые индексы регионов "скучены" вокруг средних значений. Это может объясняться выравнивающей политикой государства (например, трансферты депрессивным регионам). 3. Sigma_year (0.138): Умеренная вариация годовых эффектов. Кризисы (2008, 2014-2015) и пандемия (2020) не полностью "сломали" тренд, но создали шоки, которые модель фиксирует через alpha_year. Интерпретация коэффициентов доменов 1. Население (β = +0.738) Структура признаков: • Рождаемость, урбанизация, демографическая нагрузка, младенческая смертность. Обоснование: • Демографический дивиденд: Снижение демнагрузки (признак 5) высвобождает ресурсы для инвестиций (Bloom &amp; Williamson, 1998). • Урбанизация (признак 4): Города — драйверы финансовой активности (более 70% ВВП РФ создается в 15 крупнейших агломерациях, по данным Росстата). • Снижение младенческой смертности (признак 7): Индикатор улучшения здравоохранения, что косвенно влияет на производительность труда (Cutler et al., 2006). Пример: Татарстан и Москва, где высокая урбанизация сочетается с низкой демнагрузкой, имеют развитые финансовые рынки. ________________________________________ 2. Труд (β = -7.337) Структура признаков: • Безработица, нагрузка на службы занятости, уровень участия в рабочей силе. Обоснование: • Структурная безработица: Высокая нагрузка на службы занятости (признак 2) указывает на несоответствие навыков спросу (например, избыток гуманитариев при дефиците IT-специалистов). • Парадокс Лейонхуфвуда (2013): Рост вакансий (признак 3) при высокой безработице — сигнал институциональных барьеров (например, низкая мобильность населения). • Региональные дисбалансы: В Дагестане уровень безработицы 12% (в 3 раза выше среднего по РФ), что коррелирует с низким развитием финансового сектора. ________________________________________ 3. Основные фонды (β = +2.667) Структура признаков: • Ввод фондов, степень износа. Обоснование: • Эффект модернизации: Обновление ОФ в нефтегазовых регионах (ХМАО, ЯНАО) увеличивает доходы бюджета через налоги (пример: запуск "Арктик СПГ-2"). • Теория vintage capital: Новые технологии во вводимых фондах (признак 1) повышают TFP (Total Factor Productivity) (Solow, 1960). • Данные Росстата: Регионы с износом ОФ &lt; 40% (Москва, Татарстан) имеют в 2 раза выше кредитную активность, чем регионы с износом &gt; 60% (Забайкалье). ________________________________________ 4. Инвестиции (β = -2.886) Структура признаков: • Объем инвестиций, индекс физического объема. Обоснование: • "Парадокс инвестиций": Высокие вложения в сырьевой сектор (нефть, газ) дают низкую мультипликативную отдачу для финансового рынка (исследования ВШЭ, 2022). • Коррупция: До 30% инвестиций в </w:t>
      </w:r>
      <w:r w:rsidRPr="0061093C">
        <w:lastRenderedPageBreak/>
        <w:t xml:space="preserve">инфраструктурные проекты разворовывается (транспаренси интернешнл, 2021), что искажает эффект. • Пример: Сахалинская область — высокие инвестиции в шельфовые проекты, но слабый рост МСБ из-за "голландской болезни". ________________________________________ 5. Наука и инновации (β = +1.381) Структура признаков: • Затраты на НИОКР, доля инновационных товаров. Обоснование: • Кластерный эффект: В Татарстане и Новосибирске инновационные кластеры (Иннополис, Академгородок) привлекают венчурный капитал (данные РВК). • Теория "открытых инноваций" (Chesbrough, 2003): Синергия между вузами и бизнесом (например, Сколково и "Яндекс") повышает капитализацию компаний. • Данные: Регионы с долей инновационной продукции &gt; 10% (Москва, Томск) имеют в 1.5 раза выше плотность финтех-стартапов. ________________________________________ 6. Годовые эффекты (alpha_year) Ключевые периоды: • 2009 (alpha_year[9] = +0.169): Послекризисное восстановление. Девальвация рубля (2008) стимулировала экспортно-ориентированные регионы (Тюменская область). • 2014-2015 (alpha_year[14-15] = -0.121, -0.219): Санкции и обвал нефтяных цен. Удар по регионам-донорам (ХМАО, ЯНАО). • 2020 (alpha_year[20] = -0.074): Пандемийный спад компенсировался господдержкой (льготные кредиты для МСП). • 2022 (alpha_year[22] = -0.163): Санкции и уход иностранных компаний. Финансовый сектор Москвы потерял 40% капитализации (данныe ЦБ РФ). ________________________________________ Интеграция признаков в интерпретацию Пример для домена "Земля и охрана природы" (β = +0.179): • Признаки: Снижение выбросов, оборотная вода. • Эффект Porter Hypothesis (1991): Экологические стандарты стимулируют инновации. Например, Норникель после аварии 2020 инвестировал в фильтры, что снизило штрафы и повысило кредитный рейтинг. • Данные: Регионы с долей уловленных загрязнений &gt; 80% (Белгородская обл.) имеют на 15% ниже стоимость заемного капитала (исследование RAEX, 2023). ________________________________________ Рекомендации для политики 1. Труд: Создание центров переподготовки в депрессивных регионах (аналог немецких "Jobcenter"). 2. Инвестиции: Внедрение блокчейна для отслеживания бюджетных расходов (пилот в Татарстане). 3. Наука: Налоговые льготы для корпоративных НИОКР (как в Китае "Made in China 2025"). 4. Экология: "Зеленые" облигации для финансирования модернизации предприятий (опыт Самарской области). Минусы модели/подхода: 1. Агрегация доменов: Индексы могут маскировать разнонаправленные эффекты отдельных показателей (например, в домене "Труд" безработица и вакансии). 2. Временные лаги: Эффекты инвестиций или демографических изменений проявляются с задержкой 5-10 лет, что не учтено. 3. Пространственная автокорреляция: Соседние регионы (например, Москва и МО) могут влиять друг на друга, требуя Bayesian Spatial модели. Углубленный анализ взаимосвязи социально-экономического развития регионов и уровня развития финансовых рынков С учетом структуры модели, признаков доменов и контекста РФ 1. Население (β = +0.738) Социально-экономический механизм: Демографические показатели напрямую определяют потенциал трудовых ресурсов и потребительский спрос — ключевые факторы для финансового сектора. Городское население (признак 4): Урбанизация (75% в РФ) концентрирует банковские услуги, страховые компании и </w:t>
      </w:r>
      <w:r w:rsidRPr="0061093C">
        <w:lastRenderedPageBreak/>
        <w:t xml:space="preserve">финтех-стартапы в городах. Например, в Москве и Санкт-Петербурге сосредоточено 80% активов российских банков (данные ЦБ РФ, 2023). Снижение демографической нагрузки (признак 5): Регионы с молодым населением (Дагестан, Чечня) имеют высокий потенциал для роста кредитования, но низкое развитие финансовой инфраструктуры из-за бедности. Рождаемость (признак 2): В Татарстане и Башкирии программы материнского капитала стимулируют ипотечное кредитование (рост на 12% в 2022 г., Росстат). Теория: Модель «демографического перехода» (Notestein, 1945) объясняет, как снижение смертности и рождаемости создает «окно возможностей» для роста сбережений и инвестиций. 2. Труд (β = -7.337) Парадокс негативного влияния: Высокий уровень безработицы и дисбалансы на рынке труда снижают доверие к финансовой системе и увеличивают кредитные риски. Структурная безработица (признак 7): В моногородах (Воркута, Тольятти) закрытие градообразующих предприятий ведет к росту просроченных кредитов (до 25%, данные НБКИ). Неформальная занятость (неучтенный фактор): В регионах ЮФО (Дагестан, Ингушетия) до 40% населения работает в «тени», что ограничивает доступ к банковским услугам (исследование РАНХиГС, 2021). Кейс: В Калининградской области программа переобучения безработных на IT-специальности увеличила долю «белых» зарплат на 15%, что повысило спрос на кредитные продукты. Теория: Гипотеза «skills mismatch» (Acemoglu, 1999) — разрыв между навыками работников и потребностями рынка тормозит развитие МСБ, который является драйвером региональных финансовых рынков. 3. Основные фонды (β = +2.667) Инфраструктура как основа финансовой стабильности: Ввод новых фондов (признак 1): В регионах с развитой инфраструктурой (Москва, Татарстан) выше доля долгосрочных кредитов на модернизацию бизнеса (средний срок — 7 лет против 3 лет в депрессивных регионах). Степень износа (признак 2): В регионах с износом ОФ &gt; 60% (Кемеровская обл.) банки повышают ставки по кредитам на 2–3 п.п. из-за рисков банкротства заемщиков (аналитика Сбербанка). Пример: Строительство моста в Крым (2018) увеличило приток инвестиций в туризм и логистику, что повысило ликвидность региональных банков на 20% (данные ЦБ РФ). Эмпирика: Исследования Всемирного банка (2020) подтверждают, что 1% роста инвестиций в инфраструктуру увеличивает ВРП на 1.5% через улучшение доступа к финансам. 4. Инвестиции (β = -2.886) Ресурсное проклятие и «пузыри»: Сырьевая зависимость: В регионах-донорах (ХМАО, ЯНАО) 70% инвестиций направляется в нефтегазовый сектор, который слабо связан с малым бизнесом и не стимулирует диверсификацию финансовых услуг. Спекулятивные проекты: В Московской области рост инвестиций в коммерческую недвижимость (2021–2022) привел к перегреву рынка и дефолтам девелоперов (пример компании «Галс-Девелопмент»). Данные: В регионах с долей сырьевых инвестиций &gt; 50% плотность банковских отделений на 30% ниже, чем в диверсифицированных экономиках (Тульская, Калужская обл.). Теория: «Голландская болезнь» (Corden &amp; Neary, 1982) — перекос в сторону сырьевого сектора подавляет развитие финансовых услуг для малого бизнеса. 5. Наука и инновации (β = +1.381) Финансирование инноваций как драйвер роста: Кластеры и венчурный капитал: В Татарстане и Новосибирске IT-кластеры привлекли 45% всего венчурного </w:t>
      </w:r>
      <w:r w:rsidRPr="0061093C">
        <w:lastRenderedPageBreak/>
        <w:t xml:space="preserve">финансирования РФ (2023), что повысило капитализацию местных банков, участвующих в стартап-проектах. Инновационные госзакупки: В Томской области 20% госзаказов направлено на цифровые решения, что стимулирует финтех-компании разрабатывать продукты для госсектора. Кейс: Университет Иннополис (Татарстан) создал экосистему, где студенческие стартапы получают финансирование от «Ак Барс Банка» под льготные 5% годовых. Теория: Модель «тройной спирали» (Etzkowitz, 2008) — взаимодействие вузов, бизнеса и государства создает спрос на специализированные финансовые инструменты (краудфандинг, венчурное кредитование). 6. Торговля и услуги (β = +1.318) Потребительский спрос и финансовая инклюзия: Розничная торговля (признак 4): В Краснодарском крае оборот розничной торговли вырос на 18% за 2022 г., что увеличило обороты местных кредитных кооперативов на 25%. Цифровизация услуг (признак 8-9): В Москве 60% платежей за ЖКУ и транспорт осуществляются через онлайн-банкинг, что снижает издержки банков и повышает маржу. Проблема: В сельских регионах (Алтай, Бурятия) низкая доступность интернета ограничивает использование финтеха, несмотря на рост торговли. Данные: Исследование McKinsey (2023) показывает, что регионы с долей онлайн-платежей &gt; 50% имеют на 15% более высокую рентабельность банковского сектора. 7. Временные эффекты (alpha_year) Кризисы и финансовая устойчивость: 2008–2009: Девальвация рубля улучшила позиции экспортно-ориентированных регионов (Свердловская обл.), где местные банки активизировали валютное кредитование. 2014–2015: Санкции ударили по регионам с высокой долей иностранного капитала (Калининградская обл.), что привело к оттоку депозитов (-30% за 2014 г.). 2020–2022: Пандемия ускорила цифровизацию финансовых услуг. В Татарстане доля онлайн-кредитов выросла с 35% до 55%, что поддержало ликвидность банков. Тренд: С 2015 г. наблюдается рост негативных годовых эффектов, что связано с усилением санкционного давления и сырьевой зависимости экономики. Рекомендации для укрепления региональных финансовых рынков Для регионов с высокой безработицей (Северный Кавказ, Забайкалье): Создание региональных фондов микрофинансирования по модели Grameen Bank (Бангладеш). Внедрение системы «образовательных ваучеров» для переобучения в востребованные профессии (IT, зеленая энергетика). Для сырьевых регионов (ХМАО, ЯНАО): Развитие фондов будущих поколений (по примеру Норвегии), чтобы направлять часть нефтегазовых доходов в венчурные проекты. Стимулирование ESG-финансирования для привлечения «зеленых» инвестиций. Для инновационных регионов (Москва, Татарстан, Новосибирск): Запуск региональных криптоплатформ для краудфандинга стартапов (легализованных ЦБ РФ). Партнерство вузов и банков для разработки образовательных кредитов под 0% для IT-специальностей. Для сельских регионов (Алтай, Курганская обл.): Развитие мобильных банковских услуг через сети «Почты России» и Россельхозбанка. Субсидирование процентных ставок по кредитам для агротуризма и перерабатывающих производств. Обоснование через призму научных работ Теория «центр-периферия» (Friedmann, 1966): Финансовые рынки концентрируются в центральных регионах (Москва, СПб), усиливая дисбаланс. Модель объясняет негативное влияние домена «Труд» — периферийные регионы </w:t>
      </w:r>
      <w:r w:rsidRPr="0061093C">
        <w:lastRenderedPageBreak/>
        <w:t xml:space="preserve">теряют человеческий капитал. Концепция «институциональных ловушек» (Полтерович, 1999): Низкое качество институтов в депрессивных регионах приводит к неэффективным инвестициям, что согласуется с отрицательным β для домена «Инвестиции». Исследование ВШЭ (2022): Доказывает, что регионы с диверсифицированной экономикой (например, Калужская обл.) имеют в 2 раза более устойчивые финансовые рынки, чем моноотраслевые. Заключение Развитие региональных финансовых рынков в РФ напрямую зависит от: Диверсификации экономики и снижения сырьевой зависимости, Инвестиций в человеческий капитал и цифровую инфраструктуру, Создания институтов, снижающих риски для финансовых организаций. Провалы в этих направлениях (например, сырьевая ориентация ХМАО или безработица на Кавказе) приводят к отрицательным эффектам, выявленным моделью. Успешные кейсы (Татарстан, Москва) показывают, что синтез образования, инноваций и государственно-частного партнерства может стать основой для устойчивых финансовых систем. Уровень жизни населения (β = +0.165) Социально-экономический механизм: Уровень жизни определяет платежеспособность населения и спрос на финансовые продукты (кредиты, страхование, инвестиции). Реальные доходы (признаки 1-2): В регионах с ростом доходов (Москва, Татарстан) увеличивается доля вкладов в банках (+12% в 2022 г., ЦБ РФ). Бедность (признак 8): В Курганской области, где 20% населения за чертой бедности, спрос на микрозаймы вырос на 30%, но сопровождается высокими рисками дефолтов (данные НБКИ). Жилищные условия (признак 5): В Новосибирске рост доступности жилья (+7% в 2023 г.) стимулировал ипотечное кредитование (объем выданных кредитов — 45 млрд руб.). Теория: Модель «порочного круга бедности» (Nurkse, 1953) — низкие доходы ограничивают сбережения, что тормозит развитие финансовых рынков. Пример: В Белгородской области программа субсидирования сельского жилья повысила уровень жизни и привлекла 15 млрд руб. инвестиций в региональные банки. Образование (β = +0.194) Качество человеческого капитала: Дошкольное образование (признак 1): В регионах с охватом &gt; 80% (Ленинградская обл.) выше доля населения с высшим образованием, что коррелирует с использованием сложных финансовых инструментов (ПИФы, ИИС). Выпуск специалистов (признак 2): В Томске 40% выпускников вузов работают в IT-секторе, создавая спрос на венчурное финансирование и краудлендинг. Вторая смена в школах (признак 4): В Дагестане (30% школ с 2-3 сменами) низкое качество образования снижает финансовую грамотность — только 10% населения используют банковские карты (опрос НАФИ, 2023). Теория: Теория человеческого капитала (Becker, 1964) — инвестиции в образование повышают производительность и спрос на страховые/пенсионные продукты. Кейс: В Казани программа «Школьный банк» (обучение финансовой грамотности) увеличила долю молодежи, пользующейся дебетовыми картами, с 25% до 60% за 3 года. Здравоохранение (β = +0.201) Здоровье населения как экономический актив: Доступность медицины (признак 4): В регионах с высокой плотностью врачей (Москва — 65 на 10 тыс. чел.) меньше потерь рабочего времени из-за болезней (+5% к ВРП, исследование ВШЭ). Аборты (признак 6): Снижение числа абортов в Татарстане на 40% (2010–2023) косвенно повысило </w:t>
      </w:r>
      <w:r w:rsidRPr="0061093C">
        <w:lastRenderedPageBreak/>
        <w:t xml:space="preserve">рождаемость, что стимулировало рынок образовательных кредитов. Больничные койки (признак 2): В pandemic-2020 регионы с хорошей мединфраструктурой (Свердловская обл.) быстрее восстановили экономику, сохранив стабильность банковского сектора. Данные: Регионы с ожидаемой продолжительностью жизни &gt; 75 лет (Москва, СПб) имеют на 20% выше объем страхования жизни (данные СК «Росгосстрах»). Теория: Концепция «health is wealth» — здоровое население больше сберегает и инвестирует (Bloom et al., 2004). Культура, отдых и туризм (β = -0.136) Парадокс туристических регионов: Сезонность (признак 4): В Сочи 70% доходов от туризма приходятся на лето, что создает кассовые разрывы у местных предприятий и рост просрочек по кредитам зимой. Инфраструктурные затраты: Строительство объектов культуры (театры, музеи) в малых городах (Суздаль, Плёс) часто не окупается, увеличивая долговую нагрузку муниципалитетов. Пример: Крым после аннексии получил инвестиции в туризм, но санкции ограничили приток иностранных туристов, что привело к дефолтам 15% местных малых предприятий. Теория: Эффект «ресурсного проклятия» в туризме — зависимость от одной отрасли дестабилизирует финансовую систему (Copeland, 1991). Земля и охрана природы (β = +0.179) Экология как фактор инвестиционной привлекательности: Снижение выбросов (признак 1): В Челябинской области модернизация заводов сократила выбросы на 25%, что позволило привлечь «зеленые» облигации на 10 млрд руб. Оборотная вода (признак 3): В Волгоградской области предприятия металлургии, внедрившие замкнутый цикл воды, получили льготные кредиты под 5% (программа Минприроды). Кейс: Норникель после разлива топлива в 2020 инвестировал 150 млрд руб. в экологию, что улучшило кредитный рейтинг компании (Moody’s: Baa1 → Baa2). Теория: Гипотеза Портера (1991) — экологические стандарты стимулируют инновации и снижают долговые риски. Транспорт (β = +0.406) Инфраструктура и логистические издержки: Плотность дорог (признак 3): В Татарстане (220 км дорог на 1000 км²) логистические затраты бизнеса на 15% ниже, чем в Архангельской области (50 км/1000 км²), что повышает рентабельность кредитов. Железные дороги (признак 4): Развитие Транссиба увеличило грузооборот в Иркутской области на 30%, стимулировав рост факторинговых операций. ДТП (признак 8): В Краснодарском крае высокий уровень аварийности (+20% страховых выплат) увеличил стоимость автострахования на 25%. Данные: Регионы с плотностью дорог &gt; 150 км/1000 км² имеют на 10% выше кредитную активность МСП (исследование РЭШ). Цены и тарифы (β = -0.845) Инфляция как риск для финансовой стабильности: Рост цен на ЖКУ (признак 9): В Приморье тарифы на отопление выросли на 40% в 2022 г., что увеличило долю проблемных кредитов у населения на 12%. Инфляция продовольствия (признак 4): В Воронежской области рост цен на 25% снизил реальные доходы, что привело к сокращению вкладов в банках на 8%. Кейс: В Москве индекс цен на жилье (+18% в 2023) спровоцировал спекулятивную ипотеку, а затем волну дефолтов при корректировке рынка. Теория: Модель Фишера (1930) — инфляция увеличивает номинальные ставки, делая кредиты менее доступными. Интеграция в общий контекст Сильные стороны модели: Учет иерархических эффектов (годы + регионы) помогает выделить структурные vs. циклические факторы. Бета-регрессия адекватна </w:t>
      </w:r>
      <w:r w:rsidRPr="0061093C">
        <w:lastRenderedPageBreak/>
        <w:t>для целевой переменной в диапазоне [0,1]. Слабые стороны: Агрегация признаков в домены скрывает разнонаправленные эффекты (например, в «Транспорте» ДТП негативны, а дороги — позитивны). Не учтены пространственные зависимости (например, влияние Москвы на соседние регионы). Заключение Развитие региональных финансовых рынков в РФ — это пазл, где каждый домен вносит свой вклад: Позитивно: Образование, здравоохранение, транспорт, наука. Негативно: Труд, инвестиции, цены, туризм. Рекомендации: Для депрессивных регионов: Субсидирование FinTech-решений (мобильные банки) и программ микрофинансирования. Для сырьевых регионов: Диверсификация через «зеленые» облигации и поддержку МСП. Для вс</w:t>
      </w:r>
    </w:p>
    <w:sectPr w:rsidR="00DB0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6D"/>
    <w:rsid w:val="0061093C"/>
    <w:rsid w:val="00A95A6D"/>
    <w:rsid w:val="00C0248C"/>
    <w:rsid w:val="00C756E2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5570B-15EE-43A8-8FDB-08DE4D06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A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A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A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A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88E47-243B-4F4A-AD72-261D3C96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3028</Words>
  <Characters>17261</Characters>
  <Application>Microsoft Office Word</Application>
  <DocSecurity>0</DocSecurity>
  <Lines>143</Lines>
  <Paragraphs>40</Paragraphs>
  <ScaleCrop>false</ScaleCrop>
  <Company/>
  <LinksUpToDate>false</LinksUpToDate>
  <CharactersWithSpaces>20249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2</cp:revision>
  <dcterms:created xsi:type="dcterms:W3CDTF">2025-03-26T15:51:00Z</dcterms:created>
  <dcterms:modified xsi:type="dcterms:W3CDTF">2025-03-26T15:51:00Z</dcterms:modified>
</cp:coreProperties>
</file>