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E09F0" w14:textId="6270F0B0" w:rsidR="0021791D" w:rsidRPr="0021791D" w:rsidRDefault="0021791D" w:rsidP="0021791D">
      <w:r w:rsidRPr="0021791D">
        <w:t xml:space="preserve">Результаты теста релевантности моментных условий для модели потребления на основе </w:t>
      </w:r>
      <w:proofErr w:type="spellStart"/>
      <w:r w:rsidRPr="0021791D">
        <w:t>Euler</w:t>
      </w:r>
      <w:proofErr w:type="spellEnd"/>
      <w:r w:rsidRPr="0021791D">
        <w:t xml:space="preserve"> </w:t>
      </w:r>
      <w:proofErr w:type="spellStart"/>
      <w:r w:rsidRPr="0021791D">
        <w:t>Equation</w:t>
      </w:r>
      <w:proofErr w:type="spellEnd"/>
      <w:r w:rsidRPr="0021791D">
        <w:t xml:space="preserve"> (</w:t>
      </w:r>
      <w:proofErr w:type="spellStart"/>
      <w:r w:rsidRPr="0021791D">
        <w:t>consumption</w:t>
      </w:r>
      <w:proofErr w:type="spellEnd"/>
      <w:r w:rsidRPr="0021791D">
        <w:t xml:space="preserve">) показывают, что информационное поле агента, принимающего </w:t>
      </w:r>
      <w:proofErr w:type="spellStart"/>
      <w:r w:rsidRPr="0021791D">
        <w:t>межвременное</w:t>
      </w:r>
      <w:proofErr w:type="spellEnd"/>
      <w:r w:rsidRPr="0021791D">
        <w:t xml:space="preserve"> решение о потреблении, структурируется прежде всего вокруг сигналов финансовой неопределенности, денежно-кредитных условий и ожиданий домохозяйств, тогда как многие показатели текущей динамики реального сектора и доходности активов оказываются существенно менее информативными. Наиболее сильную релевантность демонстрируют показатели волатильности финансовых рынков - колебания валютного курса, нефти, фондового рынка и глобальной неопределенности (в частности, VIX Index), тогда как сами доходности активов статистически не влияют на идентификацию параметров предпочтений. Такая асимметрия соответствует теории </w:t>
      </w:r>
      <w:proofErr w:type="spellStart"/>
      <w:r w:rsidRPr="0021791D">
        <w:t>предосторожительного</w:t>
      </w:r>
      <w:proofErr w:type="spellEnd"/>
      <w:r w:rsidRPr="0021791D">
        <w:t xml:space="preserve"> сбережения, развитой, в частности, </w:t>
      </w:r>
      <w:proofErr w:type="spellStart"/>
      <w:r w:rsidRPr="0021791D">
        <w:t>Angus</w:t>
      </w:r>
      <w:proofErr w:type="spellEnd"/>
      <w:r w:rsidRPr="0021791D">
        <w:t xml:space="preserve"> </w:t>
      </w:r>
      <w:proofErr w:type="spellStart"/>
      <w:r w:rsidRPr="0021791D">
        <w:t>Deaton</w:t>
      </w:r>
      <w:proofErr w:type="spellEnd"/>
      <w:r w:rsidRPr="0021791D">
        <w:t xml:space="preserve"> и </w:t>
      </w:r>
      <w:proofErr w:type="spellStart"/>
      <w:r w:rsidRPr="0021791D">
        <w:t>Christopher</w:t>
      </w:r>
      <w:proofErr w:type="spellEnd"/>
      <w:r w:rsidRPr="0021791D">
        <w:t xml:space="preserve"> </w:t>
      </w:r>
      <w:proofErr w:type="spellStart"/>
      <w:r w:rsidRPr="0021791D">
        <w:t>Carroll</w:t>
      </w:r>
      <w:proofErr w:type="spellEnd"/>
      <w:r w:rsidRPr="0021791D">
        <w:t xml:space="preserve">, согласно которой домохозяйства реагируют прежде всего на изменение риска будущих доходов, а не на текущие доходности активов: рост неопределенности увеличивает ценность ликвидности и стимулирует перенос потребления в будущее. Параллельно значимую роль играют показатели денежно-кредитной среды </w:t>
      </w:r>
      <w:r>
        <w:t>-</w:t>
      </w:r>
      <w:r w:rsidRPr="0021791D">
        <w:t xml:space="preserve"> уровень и структура процентных ставок, спреды на различных сегментах кривой доходности и глобальная ставка Federal </w:t>
      </w:r>
      <w:proofErr w:type="spellStart"/>
      <w:r w:rsidRPr="0021791D">
        <w:t>Funds</w:t>
      </w:r>
      <w:proofErr w:type="spellEnd"/>
      <w:r w:rsidRPr="0021791D">
        <w:t xml:space="preserve"> Rate, что отражает фундаментальную роль межвременной цены ресурсов в уравнении Эйлера: изменение реальной доходности активов напрямую влияет на оптимальный баланс между текущим и будущим потреблением. Существенную информативность также демонстрируют индикаторы ожиданий домохозяйств </w:t>
      </w:r>
      <w:r>
        <w:t>-</w:t>
      </w:r>
      <w:r w:rsidRPr="0021791D">
        <w:t xml:space="preserve"> показатели </w:t>
      </w:r>
      <w:proofErr w:type="spellStart"/>
      <w:r w:rsidRPr="0021791D">
        <w:t>consumer</w:t>
      </w:r>
      <w:proofErr w:type="spellEnd"/>
      <w:r w:rsidRPr="0021791D">
        <w:t xml:space="preserve"> </w:t>
      </w:r>
      <w:proofErr w:type="spellStart"/>
      <w:r w:rsidRPr="0021791D">
        <w:t>confidence</w:t>
      </w:r>
      <w:proofErr w:type="spellEnd"/>
      <w:r w:rsidRPr="0021791D">
        <w:t xml:space="preserve"> </w:t>
      </w:r>
      <w:r>
        <w:t>-</w:t>
      </w:r>
      <w:r w:rsidRPr="0021791D">
        <w:t xml:space="preserve"> что свидетельствует о том, что субъективные ожидания экономической динамики выступают самостоятельным каналом формирования </w:t>
      </w:r>
      <w:proofErr w:type="spellStart"/>
      <w:r w:rsidRPr="0021791D">
        <w:t>межвременных</w:t>
      </w:r>
      <w:proofErr w:type="spellEnd"/>
      <w:r w:rsidRPr="0021791D">
        <w:t xml:space="preserve"> решений и агрегируют </w:t>
      </w:r>
      <w:proofErr w:type="spellStart"/>
      <w:r w:rsidRPr="0021791D">
        <w:t>dispersed</w:t>
      </w:r>
      <w:proofErr w:type="spellEnd"/>
      <w:r w:rsidRPr="0021791D">
        <w:t xml:space="preserve"> </w:t>
      </w:r>
      <w:proofErr w:type="spellStart"/>
      <w:r w:rsidRPr="0021791D">
        <w:t>information</w:t>
      </w:r>
      <w:proofErr w:type="spellEnd"/>
      <w:r w:rsidRPr="0021791D">
        <w:t xml:space="preserve"> о будущих доходах и макроэкономических рисках. Напротив, ряд показателей реального сектора, таких как краткосрочные изменения безработицы или динамика производства, оказываются нерелевантными, что можно интерпретировать через призму межвременной оптимизации: такие переменные отражают скорее текущее состояние экономики, тогда как решение о потреблении определяется ожиданиями будущей траектории доходов и финансовых условий. Аналогичным образом для сырьевых рынков важной оказывается не доходность нефти как таковая, а ее волатильность </w:t>
      </w:r>
      <w:r>
        <w:t>-</w:t>
      </w:r>
      <w:r w:rsidRPr="0021791D">
        <w:t xml:space="preserve"> сигнал о макроэкономической неопределенности, который влияет на ожидания будущих доходов и финансовой стабильности. В совокупности результаты указывают на то, что рациональный агент формирует решения о потреблении не столько на основе текущих уровней макроэкономических переменных, сколько на основе сигналов риска, глобальной финансовой конъюнктуры, структуры процентных ставок и ожиданий экономических перспектив, что согласуется с современной макроэкономической литературой о роли неопределенности, финансовых условий и ожиданий в формировании динамики агрегированного потребления.</w:t>
      </w:r>
    </w:p>
    <w:p w14:paraId="35810A22" w14:textId="77777777" w:rsidR="00DB027F" w:rsidRDefault="00DB027F"/>
    <w:p w14:paraId="4CBB96F6" w14:textId="5AB85B67" w:rsidR="003823CD" w:rsidRDefault="003823CD">
      <w:r>
        <w:t>Добавить про то, что сам уровень безработицы значим, а изменение этого уровня - нет</w:t>
      </w:r>
    </w:p>
    <w:sectPr w:rsidR="00382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51"/>
    <w:rsid w:val="0021791D"/>
    <w:rsid w:val="003823CD"/>
    <w:rsid w:val="006E5551"/>
    <w:rsid w:val="006F1E45"/>
    <w:rsid w:val="0089003A"/>
    <w:rsid w:val="00C756E2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FFE12"/>
  <w15:chartTrackingRefBased/>
  <w15:docId w15:val="{4AF91BFB-795D-45CA-9605-20185A81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8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1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3</cp:revision>
  <dcterms:created xsi:type="dcterms:W3CDTF">2026-03-14T08:46:00Z</dcterms:created>
  <dcterms:modified xsi:type="dcterms:W3CDTF">2026-03-14T18:15:00Z</dcterms:modified>
</cp:coreProperties>
</file>