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2E363" w14:textId="77777777" w:rsidR="00591624" w:rsidRPr="00591624" w:rsidRDefault="00591624" w:rsidP="00591624">
      <w:r w:rsidRPr="00591624">
        <w:t xml:space="preserve">Ниже — академическая интерпретация </w:t>
      </w:r>
      <w:r w:rsidRPr="00591624">
        <w:rPr>
          <w:b/>
          <w:bCs/>
        </w:rPr>
        <w:t>partial unconditional relevance</w:t>
      </w:r>
      <w:r w:rsidRPr="00591624">
        <w:t xml:space="preserve"> для вашей Euler-модели. Важная методологическая точка: этот тест отвечает уже не просто на вопрос, “релевантен ли момент вообще”, а на вопрос, </w:t>
      </w:r>
      <w:r w:rsidRPr="00591624">
        <w:rPr>
          <w:b/>
          <w:bCs/>
        </w:rPr>
        <w:t>к какому именно структурному параметру он несёт локально новую информацию — к β\betaβ, к γ\gammaγ, к обоим одновременно или ни к одному по отдельности</w:t>
      </w:r>
      <w:r w:rsidRPr="00591624">
        <w:t xml:space="preserve">. В терминах Ларина это естественное продолжение анализа релевантности и редундантности моментов: мы переходим от геометрии всего вектора моментов к его проекции на оси идентификации параметров. Для Euler-спецификации это особенно содержательно, потому что β\betaβ отвечает за межвременное дисконтирование, а γ\gammaγ — за кривизну полезности и чувствительность к риску; в стандартной потребительской теории именно эти две характеристики разделяют “цену отсрочки потребления” и “отношение к неопределённости”. </w:t>
      </w:r>
    </w:p>
    <w:p w14:paraId="786A20CE" w14:textId="77777777" w:rsidR="00591624" w:rsidRPr="00591624" w:rsidRDefault="00591624" w:rsidP="00591624">
      <w:pPr>
        <w:rPr>
          <w:b/>
          <w:bCs/>
        </w:rPr>
      </w:pPr>
      <w:r w:rsidRPr="00591624">
        <w:rPr>
          <w:b/>
          <w:bCs/>
        </w:rPr>
        <w:t>1) Монетарно-финансовый блок: преимущественно β\betaβ-ось, частично смешанная идентификация</w:t>
      </w:r>
    </w:p>
    <w:p w14:paraId="1A7988DB" w14:textId="77777777" w:rsidR="00591624" w:rsidRPr="00591624" w:rsidRDefault="00591624" w:rsidP="00591624">
      <w:r w:rsidRPr="00591624">
        <w:t xml:space="preserve">В монетарно-финансовом блоке наиболее устойчиво проявляется именно </w:t>
      </w:r>
      <w:r w:rsidRPr="00591624">
        <w:rPr>
          <w:b/>
          <w:bCs/>
        </w:rPr>
        <w:t>β\betaβ-канал</w:t>
      </w:r>
      <w:r w:rsidRPr="00591624">
        <w:t xml:space="preserve">. Средняя ключевая ставка, внутримесячная волатильность ставки, наблюдаемая инфляция, внутримесячная волатильность доходности индекса МосБиржи и долгосрочный депозитно-кредитный спред 181 day−1 year181\text{ day} - 1\text{ year}181 day−1 year оказываются параметрически значимыми прежде всего для β\betaβ. Экономически это означает, что данные инструменты в вашей выборке прежде всего объясняют </w:t>
      </w:r>
      <w:r w:rsidRPr="00591624">
        <w:rPr>
          <w:b/>
          <w:bCs/>
        </w:rPr>
        <w:t>межвременную цену переноса потребления</w:t>
      </w:r>
      <w:r w:rsidRPr="00591624">
        <w:t xml:space="preserve">: когда меняются ставка, инфляция и структура процентных спредов, меняется относительная привлекательность сегодняшнего и завтрашнего потребления. Такой вывод хорошо согласуется с логикой Euler equation: при стандартной межвременной постановке именно реальная стоимость отсрочки потребления и условия заимствования/размещения задают чувствительность поведения к β\betaβ. </w:t>
      </w:r>
    </w:p>
    <w:p w14:paraId="43840383" w14:textId="77777777" w:rsidR="00591624" w:rsidRPr="00591624" w:rsidRDefault="00591624" w:rsidP="00591624">
      <w:r w:rsidRPr="00591624">
        <w:t xml:space="preserve">Особенно показательно, что краткосрочный депозитный спред 0–300\text{–}300–30 дней оказывается значим </w:t>
      </w:r>
      <w:r w:rsidRPr="00591624">
        <w:rPr>
          <w:b/>
          <w:bCs/>
        </w:rPr>
        <w:t>и для β\betaβ, и для γ\gammaγ</w:t>
      </w:r>
      <w:r w:rsidRPr="00591624">
        <w:t xml:space="preserve">. Это очень хороший пример </w:t>
      </w:r>
      <w:r w:rsidRPr="00591624">
        <w:rPr>
          <w:b/>
          <w:bCs/>
        </w:rPr>
        <w:t>смешанной оси идентификации</w:t>
      </w:r>
      <w:r w:rsidRPr="00591624">
        <w:t xml:space="preserve">: короткий спред, по-видимому, несёт не только информацию о цене межвременного переноса ресурсов, но и о краткосрочной нестабильности финансовой среды, а значит — о риске и осторожностном поведении. Иными словами, для короткого конца кривой ставок различие между “дисконтированием” и “риском” в ваших данных не полностью разрывается, а частично накладывается. Напротив, спред 31–9031\text{–}9031–90 дней у вас является именно </w:t>
      </w:r>
      <w:r w:rsidRPr="00591624">
        <w:rPr>
          <w:b/>
          <w:bCs/>
        </w:rPr>
        <w:t>γ\gammaγ-специфичным</w:t>
      </w:r>
      <w:r w:rsidRPr="00591624">
        <w:t xml:space="preserve">: это значит, что он лучше работает как индикатор чувствительности к неопределённости и кривизне полезности, чем как чистая цена времени. Такая трактовка правдоподобна экономически, поскольку среднесрочные кредитные условия скорее отражают не только текущую стоимость денег, но и восприятие риска доступа к ликвидности в ближайшем горизонте. </w:t>
      </w:r>
    </w:p>
    <w:p w14:paraId="3A879D25" w14:textId="77777777" w:rsidR="00591624" w:rsidRPr="00591624" w:rsidRDefault="00591624" w:rsidP="00591624">
      <w:r w:rsidRPr="00591624">
        <w:lastRenderedPageBreak/>
        <w:t xml:space="preserve">Ещё один важный момент: реальная доходность депозитов R[t]R[t]R[t] в полной модели остаётся значимой на уровне общей релевантности, но </w:t>
      </w:r>
      <w:r w:rsidRPr="00591624">
        <w:rPr>
          <w:b/>
          <w:bCs/>
        </w:rPr>
        <w:t>не становится чисто β\betaβ- или γ\gammaγ-специфичной</w:t>
      </w:r>
      <w:r w:rsidRPr="00591624">
        <w:t xml:space="preserve">. Это следует читать как признак того, что сама по себе доходность депозитов не задаёт отдельную ось идентификации, а работает только в связке с более общей конфигурацией денежно-кредитных условий. В терминах вашего анализа это именно “совместный” момент, который помогает системе в целом, но не раскладывается на один структурный параметр. Это согласуется с тем, что в Euler-модели потребитель реагирует не на отдельный финансовый показатель изолированно, а на </w:t>
      </w:r>
      <w:r w:rsidRPr="00591624">
        <w:rPr>
          <w:b/>
          <w:bCs/>
        </w:rPr>
        <w:t>реальную межвременную цену денег как систему</w:t>
      </w:r>
      <w:r w:rsidRPr="00591624">
        <w:t xml:space="preserve">, где ставка, инфляция и спрэды важнее одиночного доходностного числа. </w:t>
      </w:r>
    </w:p>
    <w:p w14:paraId="7FA46523" w14:textId="77777777" w:rsidR="00591624" w:rsidRPr="00591624" w:rsidRDefault="00591624" w:rsidP="00591624">
      <w:pPr>
        <w:rPr>
          <w:b/>
          <w:bCs/>
        </w:rPr>
      </w:pPr>
      <w:r w:rsidRPr="00591624">
        <w:rPr>
          <w:b/>
          <w:bCs/>
        </w:rPr>
        <w:t>2) Блок фундаментальных макроэкономических условий: здесь лучше идентифицируется γ\gammaγ</w:t>
      </w:r>
    </w:p>
    <w:p w14:paraId="60C8E19B" w14:textId="77777777" w:rsidR="00591624" w:rsidRPr="00591624" w:rsidRDefault="00591624" w:rsidP="00591624">
      <w:r w:rsidRPr="00591624">
        <w:t xml:space="preserve">Во втором блоке картина меняется: наиболее содержательные сигналы идут по </w:t>
      </w:r>
      <w:r w:rsidRPr="00591624">
        <w:rPr>
          <w:b/>
          <w:bCs/>
        </w:rPr>
        <w:t>γ\gammaγ-оси</w:t>
      </w:r>
      <w:r w:rsidRPr="00591624">
        <w:t xml:space="preserve">. Реальная заработная плата, её лаг, текущий темп роста оборота непродовольственной розницы и с лагом частично индекс промышленной динамики оказываются именно γ\gammaγ-специфичными. Это очень содержательный результат, потому что γ\gammaγ в CRRA-предпочтениях отвечает за кривизну полезности, то есть за то, насколько чувствителен агент к колебаниям будущего потребления. Переменные реального сектора и дохода как раз и являются естественными носителями информации о траектории будущих ресурсов домохозяйства, а значит — о риске потребления и precautionary motive. В литературе по precautionary saving и риску дохода именно неопределённость трудового дохода и стабильность занятости рассматриваются как центральные факторы осторожного поведения. </w:t>
      </w:r>
    </w:p>
    <w:p w14:paraId="1583D4BF" w14:textId="77777777" w:rsidR="00591624" w:rsidRPr="00591624" w:rsidRDefault="00591624" w:rsidP="00591624">
      <w:r w:rsidRPr="00591624">
        <w:t xml:space="preserve">Особенно важно, что </w:t>
      </w:r>
      <w:r w:rsidRPr="00591624">
        <w:rPr>
          <w:b/>
          <w:bCs/>
        </w:rPr>
        <w:t>индекс потребительского доверия</w:t>
      </w:r>
      <w:r w:rsidRPr="00591624">
        <w:t xml:space="preserve"> и </w:t>
      </w:r>
      <w:r w:rsidRPr="00591624">
        <w:rPr>
          <w:b/>
          <w:bCs/>
        </w:rPr>
        <w:t>уровень безработицы</w:t>
      </w:r>
      <w:r w:rsidRPr="00591624">
        <w:t xml:space="preserve"> в partial unconditional test не становятся отдельными β\betaβ- или γ\gammaγ-каналами, хотя в unconditional и conditional relevance они были экономически заметны на уровне блока. Это очень хороший и небанальный результат. Он означает, что доверие и безработица, вероятнее всего, являются </w:t>
      </w:r>
      <w:r w:rsidRPr="00591624">
        <w:rPr>
          <w:b/>
          <w:bCs/>
        </w:rPr>
        <w:t>широкими прокси одного латентного состояния</w:t>
      </w:r>
      <w:r w:rsidRPr="00591624">
        <w:t xml:space="preserve"> — ожиданий, риска занятости и общей макроэкономической неопределённости — но не добавляют отдельной локальной информации, если уже учтены реальные доходы и выпуск. Такая интерпретация хорошо согласуется с эмпирической литературой по consumer confidence: доверие может предсказывать потребление даже после контроля дохода, безработицы и инфляции, но его информационный вклад часто оказывается “широким”, а не строго параметрически уникальным. Аналогично, литература по job-loss risk показывает, что безработица работает как канал precautionary saving, но часто через агрегированный риск, а не как самостоятельный структурный параметр. </w:t>
      </w:r>
    </w:p>
    <w:p w14:paraId="7D856A44" w14:textId="77777777" w:rsidR="00591624" w:rsidRPr="00591624" w:rsidRDefault="00591624" w:rsidP="00591624">
      <w:r w:rsidRPr="00591624">
        <w:t xml:space="preserve">То, что </w:t>
      </w:r>
      <w:r w:rsidRPr="00591624">
        <w:rPr>
          <w:b/>
          <w:bCs/>
        </w:rPr>
        <w:t>изменение уровня безработицы</w:t>
      </w:r>
      <w:r w:rsidRPr="00591624">
        <w:t xml:space="preserve"> за месяц не становится параметрически значимым, тоже экономически ожидаемо: домохозяйства обычно реагируют не на </w:t>
      </w:r>
      <w:r w:rsidRPr="00591624">
        <w:lastRenderedPageBreak/>
        <w:t xml:space="preserve">одномесячный прирост безработицы как таковой, а на более устойчивое состояние риска на рынке труда. Поэтому в вашей спецификации именно устойчивые реальные переменные — зарплата, выпуск и розница — формируют идентификацию γ\gammaγ, тогда как краткосрочные изменения состояния труда оказываются слишком шумными и слишком близкими к другим макросигналам. </w:t>
      </w:r>
    </w:p>
    <w:p w14:paraId="024AAC77" w14:textId="77777777" w:rsidR="00591624" w:rsidRPr="00591624" w:rsidRDefault="00591624" w:rsidP="00591624">
      <w:pPr>
        <w:rPr>
          <w:b/>
          <w:bCs/>
        </w:rPr>
      </w:pPr>
      <w:r w:rsidRPr="00591624">
        <w:rPr>
          <w:b/>
          <w:bCs/>
        </w:rPr>
        <w:t>3) Внешний блок: текущая волатильность — для β\betaβ, лаговая неопределённость — для γ\gammaγ</w:t>
      </w:r>
    </w:p>
    <w:p w14:paraId="05C70B27" w14:textId="77777777" w:rsidR="00591624" w:rsidRPr="00591624" w:rsidRDefault="00591624" w:rsidP="00591624">
      <w:r w:rsidRPr="00591624">
        <w:t xml:space="preserve">Во внешнем блоке partial unconditional relevance даёт очень чистую структуру. </w:t>
      </w:r>
      <w:r w:rsidRPr="00591624">
        <w:rPr>
          <w:b/>
          <w:bCs/>
        </w:rPr>
        <w:t>Текущая волатильность VIX</w:t>
      </w:r>
      <w:r w:rsidRPr="00591624">
        <w:t xml:space="preserve"> оказывается β\betaβ-специфичной, тогда как </w:t>
      </w:r>
      <w:r w:rsidRPr="00591624">
        <w:rPr>
          <w:b/>
          <w:bCs/>
        </w:rPr>
        <w:t>лаговое среднее значение VIX</w:t>
      </w:r>
      <w:r w:rsidRPr="00591624">
        <w:t xml:space="preserve"> оказывается γ\gammaγ-специфичным. Это хороший пример того, как тест выделяет разные экономические каналы одного и того же класса переменных. Cboe определяет VIX как меру ожиданий near-term volatility, то есть индикатор рыночной неопределённости, а не просто “цену” риска в статичном смысле. Поэтому ваша таблица очень логично читается так: текущая волатильность внешней среды влияет на </w:t>
      </w:r>
      <w:r w:rsidRPr="00591624">
        <w:rPr>
          <w:b/>
          <w:bCs/>
        </w:rPr>
        <w:t>межвременную цену выбора</w:t>
      </w:r>
      <w:r w:rsidRPr="00591624">
        <w:t xml:space="preserve"> и тем самым на β\betaβ, а устойчивый уровень внешней неопределённости, который уже успел войти в ожидания, влияет на </w:t>
      </w:r>
      <w:r w:rsidRPr="00591624">
        <w:rPr>
          <w:b/>
          <w:bCs/>
        </w:rPr>
        <w:t>risk-aversion / curvature channel</w:t>
      </w:r>
      <w:r w:rsidRPr="00591624">
        <w:t xml:space="preserve"> и тем самым на γ\gammaγ. </w:t>
      </w:r>
    </w:p>
    <w:p w14:paraId="40039A4E" w14:textId="77777777" w:rsidR="00591624" w:rsidRPr="00591624" w:rsidRDefault="00591624" w:rsidP="00591624">
      <w:r w:rsidRPr="00591624">
        <w:t xml:space="preserve">Это различие хорошо согласуется с более широкой литературой о неопределённости и потреблении. ECB и связанные исследования показывают, что рост макроэкономической неопределённости усиливает precautionary saving и снижает потребление, причём этот эффект особенно заметен у домохозяйств с более высокой чувствительностью к доходному риску. В вашей модели то, что именно lagged VIX, а не текущий VIX, становится γ\gammaγ-специфичным, можно осторожно интерпретировать как признак того, что </w:t>
      </w:r>
      <w:r w:rsidRPr="00591624">
        <w:rPr>
          <w:b/>
          <w:bCs/>
        </w:rPr>
        <w:t>не постоянный шум, а уже сложившийся режим неопределённости</w:t>
      </w:r>
      <w:r w:rsidRPr="00591624">
        <w:t xml:space="preserve"> несёт информацию о кривизне предпочтений и осторожностном поведении. Это именно интерпретация, а не причинное утверждение; но она хорошо укладывается в стандартную теорию. </w:t>
      </w:r>
    </w:p>
    <w:p w14:paraId="65438993" w14:textId="77777777" w:rsidR="00591624" w:rsidRPr="00591624" w:rsidRDefault="00591624" w:rsidP="00591624">
      <w:r w:rsidRPr="00591624">
        <w:t xml:space="preserve">Отдельно важно, что нефтяные и валютные </w:t>
      </w:r>
      <w:r w:rsidRPr="00591624">
        <w:rPr>
          <w:b/>
          <w:bCs/>
        </w:rPr>
        <w:t>доходности</w:t>
      </w:r>
      <w:r w:rsidRPr="00591624">
        <w:t xml:space="preserve"> у вас не дают автономной β\betaβ- или γ\gammaγ-ось. Это не значит, что внешние шоки “не важны”; скорее, в вашей ежемесячной Euler-постановке важен не сам знак сырьевого или валютного движения, а тот компонент внешней среды, который связан с </w:t>
      </w:r>
      <w:r w:rsidRPr="00591624">
        <w:rPr>
          <w:b/>
          <w:bCs/>
        </w:rPr>
        <w:t>нестабильностью</w:t>
      </w:r>
      <w:r w:rsidRPr="00591624">
        <w:t xml:space="preserve">. Для российской экономики это особенно правдоподобно: работы по нефтяным шокам и российскому финансовому стрессу показывают, что нефтяной канал действительно передаёт макро- и финансовые эффекты, но в современных данных он часто проявляется через волатильность, стресс и условия финансирования, а не только через среднюю доходность актива. </w:t>
      </w:r>
    </w:p>
    <w:p w14:paraId="6B01C8DB" w14:textId="77777777" w:rsidR="00591624" w:rsidRPr="00591624" w:rsidRDefault="00591624" w:rsidP="00591624">
      <w:pPr>
        <w:rPr>
          <w:b/>
          <w:bCs/>
        </w:rPr>
      </w:pPr>
      <w:r w:rsidRPr="00591624">
        <w:rPr>
          <w:b/>
          <w:bCs/>
        </w:rPr>
        <w:t>4) Общее поле: β\betaβ становится доминирующей осью, γ\gammaγ — наиболее уязвимой</w:t>
      </w:r>
    </w:p>
    <w:p w14:paraId="3E836E72" w14:textId="77777777" w:rsidR="00591624" w:rsidRPr="00591624" w:rsidRDefault="00591624" w:rsidP="00591624">
      <w:r w:rsidRPr="00591624">
        <w:t xml:space="preserve">В объединённой спецификации результат становится ещё более сильным и, честно говоря, методологически очень ценным. На β\betaβ-оси у вас сохраняют </w:t>
      </w:r>
      <w:r w:rsidRPr="00591624">
        <w:lastRenderedPageBreak/>
        <w:t xml:space="preserve">параметрическую значимость средняя ключевая ставка, лаг реальной доходности депозитов, долгосрочный депозитно-кредитный спред и часть процентной структуры. На γ\gammaγ-оси при этом </w:t>
      </w:r>
      <w:r w:rsidRPr="00591624">
        <w:rPr>
          <w:b/>
          <w:bCs/>
        </w:rPr>
        <w:t>не остаётся ни одного момента, который был бы устойчиво значим на 5% уровне сам по себе</w:t>
      </w:r>
      <w:r w:rsidRPr="00591624">
        <w:t xml:space="preserve">. Это не следует трактовать как “γ\gammaγ не существует”; корректнее сказать, что </w:t>
      </w:r>
      <w:r w:rsidRPr="00591624">
        <w:rPr>
          <w:b/>
          <w:bCs/>
        </w:rPr>
        <w:t>в вашей месячной агрегированной спецификации риск-аверсия идентифицируется слабее и более распределённо</w:t>
      </w:r>
      <w:r w:rsidRPr="00591624">
        <w:t xml:space="preserve">, чем дисконт-фактор. Такая асимметрия очень хорошо известна в литературе по Euler estimation: оценки коэффициента относительного риска и субъективной нормы дисконта на агрегированных данных часто оказываются нестабильными, а иногда и экономически implausible, что как раз указывает на сложность выделения γ\gammaγ из стандартных потребительских уравнений. </w:t>
      </w:r>
    </w:p>
    <w:p w14:paraId="5330F30A" w14:textId="77777777" w:rsidR="00591624" w:rsidRPr="00591624" w:rsidRDefault="00591624" w:rsidP="00591624">
      <w:r w:rsidRPr="00591624">
        <w:t xml:space="preserve">В этом смысле ваш результат согласуется с тем, что </w:t>
      </w:r>
      <w:r w:rsidRPr="00591624">
        <w:rPr>
          <w:b/>
          <w:bCs/>
        </w:rPr>
        <w:t>β\betaβ</w:t>
      </w:r>
      <w:r w:rsidRPr="00591624">
        <w:t xml:space="preserve"> легче извлекается из финансово-ценовых переменных, а </w:t>
      </w:r>
      <w:r w:rsidRPr="00591624">
        <w:rPr>
          <w:b/>
          <w:bCs/>
        </w:rPr>
        <w:t>γ\gammaγ</w:t>
      </w:r>
      <w:r w:rsidRPr="00591624">
        <w:t xml:space="preserve"> — из реального дохода и риска, но при объединении блоков его отдельные каналы начинают перекрываться. Например, real salary, production and confidence уже не дают отдельной γ\gammaγ-оси в полном наборе, потому что их информация частично поглощается ставками, инфляцией, VIX и ценой финансового богатства. Это очень важный практический вывод для центральнобанковской интерпретации: в агрегированных ежемесячных данных агент считывает не отдельный “макрошок”, а </w:t>
      </w:r>
      <w:r w:rsidRPr="00591624">
        <w:rPr>
          <w:b/>
          <w:bCs/>
        </w:rPr>
        <w:t>комбинацию устойчивых сигналов</w:t>
      </w:r>
      <w:r w:rsidRPr="00591624">
        <w:t xml:space="preserve">, и для параметра риска эта комбинация не всегда разлагается на один чистый инструмент. </w:t>
      </w:r>
    </w:p>
    <w:p w14:paraId="17E8A87E" w14:textId="77777777" w:rsidR="00591624" w:rsidRPr="00591624" w:rsidRDefault="00591624" w:rsidP="00591624">
      <w:pPr>
        <w:rPr>
          <w:b/>
          <w:bCs/>
        </w:rPr>
      </w:pPr>
      <w:r w:rsidRPr="00591624">
        <w:rPr>
          <w:b/>
          <w:bCs/>
        </w:rPr>
        <w:t>5) Как это согласуется с предыдущими тестами</w:t>
      </w:r>
    </w:p>
    <w:p w14:paraId="5394A5CA" w14:textId="77777777" w:rsidR="00591624" w:rsidRPr="00591624" w:rsidRDefault="00591624" w:rsidP="00591624">
      <w:r w:rsidRPr="00591624">
        <w:t>Если связать текущий результат с unconditional и conditional relevance, получается очень логичная иерархия.</w:t>
      </w:r>
      <w:r w:rsidRPr="00591624">
        <w:br/>
        <w:t xml:space="preserve">Unconditional relevance отвечал на вопрос, </w:t>
      </w:r>
      <w:r w:rsidRPr="00591624">
        <w:rPr>
          <w:b/>
          <w:bCs/>
        </w:rPr>
        <w:t>есть ли у момента вообще локальная связь с моделью</w:t>
      </w:r>
      <w:r w:rsidRPr="00591624">
        <w:t>.</w:t>
      </w:r>
      <w:r w:rsidRPr="00591624">
        <w:br/>
        <w:t xml:space="preserve">Conditional relevance отвечал на вопрос, </w:t>
      </w:r>
      <w:r w:rsidRPr="00591624">
        <w:rPr>
          <w:b/>
          <w:bCs/>
        </w:rPr>
        <w:t>несёт ли момент новую информацию после учёта других моментов</w:t>
      </w:r>
      <w:r w:rsidRPr="00591624">
        <w:t>.</w:t>
      </w:r>
      <w:r w:rsidRPr="00591624">
        <w:br/>
        <w:t xml:space="preserve">Partial unconditional relevance добавляет третье измерение: </w:t>
      </w:r>
      <w:r w:rsidRPr="00591624">
        <w:rPr>
          <w:b/>
          <w:bCs/>
        </w:rPr>
        <w:t>к какому параметру эта новая информация относится — к β\betaβ, к γ\gammaγ, к обоим или к общему вектору</w:t>
      </w:r>
      <w:r w:rsidRPr="00591624">
        <w:t>.</w:t>
      </w:r>
    </w:p>
    <w:p w14:paraId="08A9232F" w14:textId="77777777" w:rsidR="00591624" w:rsidRPr="00591624" w:rsidRDefault="00591624" w:rsidP="00591624">
      <w:r w:rsidRPr="00591624">
        <w:t>В ваших данных это выглядит так:</w:t>
      </w:r>
      <w:r w:rsidRPr="00591624">
        <w:br/>
        <w:t>в монетарно-финансовом блоке условная релевантность в основном раскладывается на β\betaβ-оси, но короткий спред и среднесрочный спред дают ещё и γ\gammaγ-сигнал;</w:t>
      </w:r>
      <w:r w:rsidRPr="00591624">
        <w:br/>
        <w:t>в макро-блоке реальные доходы и выпуск создают γ\gammaγ-ось, тогда как доверие и безработица выступают скорее как широкие, но не параметрически уникальные прокси;</w:t>
      </w:r>
      <w:r w:rsidRPr="00591624">
        <w:br/>
        <w:t>во внешнем блоке текущая волатильность работает на β\betaβ, а лаговый VIX — на γ\gammaγ;</w:t>
      </w:r>
      <w:r w:rsidRPr="00591624">
        <w:br/>
        <w:t>в полном наборе доминирует β\betaβ, тогда как γ\gammaγ становится слабее и более размытым.</w:t>
      </w:r>
    </w:p>
    <w:p w14:paraId="5BB76BA8" w14:textId="77777777" w:rsidR="00591624" w:rsidRPr="00591624" w:rsidRDefault="00591624" w:rsidP="00591624">
      <w:r w:rsidRPr="00591624">
        <w:lastRenderedPageBreak/>
        <w:t xml:space="preserve">Это и есть главный экономический смысл partial unconditional relevance: он показывает, что одни переменные определяют </w:t>
      </w:r>
      <w:r w:rsidRPr="00591624">
        <w:rPr>
          <w:b/>
          <w:bCs/>
        </w:rPr>
        <w:t>уровень межвременного выбора</w:t>
      </w:r>
      <w:r w:rsidRPr="00591624">
        <w:t xml:space="preserve">, другие — </w:t>
      </w:r>
      <w:r w:rsidRPr="00591624">
        <w:rPr>
          <w:b/>
          <w:bCs/>
        </w:rPr>
        <w:t>чувствительность к риску</w:t>
      </w:r>
      <w:r w:rsidRPr="00591624">
        <w:t xml:space="preserve">, а третьи лишь помогают системе в целом, не принадлежа к одной оси идентификации. </w:t>
      </w:r>
    </w:p>
    <w:p w14:paraId="26AA04F8" w14:textId="77777777" w:rsidR="00591624" w:rsidRPr="00591624" w:rsidRDefault="00591624" w:rsidP="00591624">
      <w:pPr>
        <w:rPr>
          <w:b/>
          <w:bCs/>
        </w:rPr>
      </w:pPr>
      <w:r w:rsidRPr="00591624">
        <w:rPr>
          <w:b/>
          <w:bCs/>
        </w:rPr>
        <w:t>Короткий вывод для главы</w:t>
      </w:r>
    </w:p>
    <w:p w14:paraId="638D5803" w14:textId="77777777" w:rsidR="00591624" w:rsidRPr="00591624" w:rsidRDefault="00591624" w:rsidP="00591624">
      <w:r w:rsidRPr="00591624">
        <w:t xml:space="preserve">Если сформулировать итог в одном абзаце, то он будет таким: в вашей Euler-модели параметр β\betaβ в основном идентифицируется через </w:t>
      </w:r>
      <w:r w:rsidRPr="00591624">
        <w:rPr>
          <w:b/>
          <w:bCs/>
        </w:rPr>
        <w:t>процентные ставки, инфляцию, кредитные спрэды и финансовую неопределённость</w:t>
      </w:r>
      <w:r w:rsidRPr="00591624">
        <w:t xml:space="preserve">, тогда как параметр γ\gammaγ — через </w:t>
      </w:r>
      <w:r w:rsidRPr="00591624">
        <w:rPr>
          <w:b/>
          <w:bCs/>
        </w:rPr>
        <w:t>реальную динамику доходов, выпуска и более устойчивые компоненты внешнего риска</w:t>
      </w:r>
      <w:r w:rsidRPr="00591624">
        <w:t xml:space="preserve">. Некоторые переменные, такие как краткосрочный депозитный спред и текущая волатильность рынка, работают как смешанные каналы и несут информацию сразу об обеих осях идентификации; другие, как потребительское доверие и безработица, полезны в более широком смысле, но не образуют отдельной структурной оси после полного контроля за системой. В полном наборе данных идентификация β\betaβ оказывается значительно более устойчивой, чем идентификация γ\gammaγ, что соответствует известной трудности оценки риск-аверсии на агрегированных Euler-данных. </w:t>
      </w:r>
    </w:p>
    <w:p w14:paraId="2A717039" w14:textId="77777777" w:rsidR="00DB027F" w:rsidRPr="00591624" w:rsidRDefault="00DB027F"/>
    <w:sectPr w:rsidR="00DB027F" w:rsidRPr="005916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14E"/>
    <w:rsid w:val="002037BC"/>
    <w:rsid w:val="00591624"/>
    <w:rsid w:val="00C756E2"/>
    <w:rsid w:val="00DB027F"/>
    <w:rsid w:val="00E21FFA"/>
    <w:rsid w:val="00E94AA5"/>
    <w:rsid w:val="00EA4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6B327"/>
  <w15:chartTrackingRefBased/>
  <w15:docId w15:val="{F22801D6-8833-4F94-9955-7BE0F7055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4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4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4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4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4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4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4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4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4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4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4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4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41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41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41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41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41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41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4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4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4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4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4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41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41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41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4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41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4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4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1825</Words>
  <Characters>10409</Characters>
  <Application>Microsoft Office Word</Application>
  <DocSecurity>0</DocSecurity>
  <Lines>86</Lines>
  <Paragraphs>24</Paragraphs>
  <ScaleCrop>false</ScaleCrop>
  <Company/>
  <LinksUpToDate>false</LinksUpToDate>
  <CharactersWithSpaces>12210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Гладков Александр Евгеньевич</dc:creator>
  <cp:keywords/>
  <dc:description/>
  <cp:lastModifiedBy>Гладков Александр Евгеньевич</cp:lastModifiedBy>
  <cp:revision>2</cp:revision>
  <dcterms:created xsi:type="dcterms:W3CDTF">2026-03-28T06:19:00Z</dcterms:created>
  <dcterms:modified xsi:type="dcterms:W3CDTF">2026-03-28T06:26:00Z</dcterms:modified>
</cp:coreProperties>
</file>