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C358" w14:textId="77777777" w:rsidR="00AD4CFF" w:rsidRPr="00AD4CFF" w:rsidRDefault="00AD4CFF" w:rsidP="00AD4CFF">
      <w:r w:rsidRPr="00AD4CFF">
        <w:rPr>
          <w:b/>
          <w:bCs/>
        </w:rPr>
        <w:t>1) Что видно по портфелю в целом.</w:t>
      </w:r>
      <w:r w:rsidRPr="00AD4CFF">
        <w:br/>
        <w:t xml:space="preserve">Портфель состоит из трёх типов сигналов: (i) краткосрочные и среднесрочные процентные спрэды, (ii) показатели неопределённости и финансовой волатильности, (iii) реальные макроиндикаторы дохода и выпуска. Это очень согласуется с Euler-логикой: в модели потребления с межвременным выбором ключевую роль играют реальная цена переноса потребления во времени и ожидания будущей траектории ресурсов, а при стохастической реальной ставке и неопределённости в условиях выбора появляются и каналы риска. Именно так и устроены классические интертемпоральные модели потребления и consumption-based pricing: потребитель реагирует на intertemporal price, а не на отдельный шок изолированно. </w:t>
      </w:r>
    </w:p>
    <w:p w14:paraId="3AD9F9E9" w14:textId="77777777" w:rsidR="00AD4CFF" w:rsidRPr="00AD4CFF" w:rsidRDefault="00AD4CFF" w:rsidP="00AD4CFF">
      <w:r w:rsidRPr="00AD4CFF">
        <w:rPr>
          <w:b/>
          <w:bCs/>
        </w:rPr>
        <w:t>2) Почему bridge-факторы — самые содержательные.</w:t>
      </w:r>
      <w:r w:rsidRPr="00AD4CFF">
        <w:br/>
        <w:t xml:space="preserve">У вас в bridge попали i_spread_30[t], i_spread_31_90[t] и mean_vix[t-1]. Это очень сильный результат. Краткосрочные и среднесрочные спрэды по ставкам одновременно несут информацию и о цене денег во времени, и о финансовой неопределённости: они прямо относятся к тому, насколько дорого перенести потребление сегодня относительно будущего, и насколько нестабилен этот перенос. Для VIX это тоже логично: Cboe определяет VIX как меру ожидаемой 30-дневной волатильности, основанную на ценах опционов на S&amp;P 500, и сам индекс часто трактуется как “fear gauge”; лагированное среднее VIX в вашем портфеле означает, что не просто текущий шум, а устойчивое состояние внешней неопределённости несёт независимую информацию сразу по двум осям идентификации. </w:t>
      </w:r>
    </w:p>
    <w:p w14:paraId="57552BB2" w14:textId="77777777" w:rsidR="00AD4CFF" w:rsidRPr="00AD4CFF" w:rsidRDefault="00AD4CFF" w:rsidP="00AD4CFF">
      <w:r w:rsidRPr="00AD4CFF">
        <w:rPr>
          <w:b/>
          <w:bCs/>
        </w:rPr>
        <w:t>3) Почему большая часть beta_core — это денежно-финансовые и ожидательные переменные.</w:t>
      </w:r>
      <w:r w:rsidRPr="00AD4CFF">
        <w:br/>
        <w:t xml:space="preserve">mean_rate[t], observed_inflation[t], std_rate[t], std_rate[t-1], std_return_moex[t], federal_funds_rate[t], mean_vix[t], а также consumer_confidence[t] и её лаги оказались в основном на оси β\betaβ. Это очень похоже на канал межвременного выбора: текущая ставка и инфляция определяют реальную цену переноса потребления, а волатильность ставки и рынка — насколько стабилен этот перенос. В литературе по Euler equation и consumption-based asset pricing это как раз центральный механизм: потребление реагирует на ожидаемую стоимость отсрочки и на внешние условия, влияющие на этот выбор. То, что consumer confidence у вас тоже уходит в β\betaβ-канал, хорошо согласуется с ECB-результатами: consumer confidence действительно обладает самостоятельной прогностической информацией по потреблению даже после учёта дохода, безработицы и инфляции, то есть выступает как агрегированный индикатор ожиданий домохозяйств, а не просто как шумовая переменная. </w:t>
      </w:r>
    </w:p>
    <w:p w14:paraId="797A3383" w14:textId="77777777" w:rsidR="00AD4CFF" w:rsidRPr="00AD4CFF" w:rsidRDefault="00AD4CFF" w:rsidP="00AD4CFF">
      <w:r w:rsidRPr="00AD4CFF">
        <w:rPr>
          <w:b/>
          <w:bCs/>
        </w:rPr>
        <w:t>4) Почему gamma_core — это реальный доход и выпуск.</w:t>
      </w:r>
      <w:r w:rsidRPr="00AD4CFF">
        <w:br/>
        <w:t xml:space="preserve">В gamma_core у вас попали g_real_salary[t], g_real_salary[t-1], mean_g_production_index[t], g_retail_nonfood[t], mean_g_production_index[t-1]. Это очень содержательная структура: именно реальные доходы и реальный выпуск лучше всего описывают траекторию будущих ресурсов домохозяйства, а значит — риск, с которым связана будущая полезность потребления. Такая интерпретация хорошо </w:t>
      </w:r>
      <w:r w:rsidRPr="00AD4CFF">
        <w:lastRenderedPageBreak/>
        <w:t xml:space="preserve">сочетается с традицией precautionary saving: работы Carroll, Dynan и Krane показывают, что рост риска безработицы и неопределённости дохода связан с увеличением precautionary wealth, то есть с более осторожным поведением домохозяйств; в вашем случае реальные зарплаты и выпуск выступают как прокси именно этой «тяжести» будущей траектории потребления. Поэтому то, что эти переменные оказались на γ\gammaγ-оси, естественно читать как сигнал о том, что risk/curvature-канал в ваших данных формируется в первую очередь реальным сектором, а не финансовым. </w:t>
      </w:r>
    </w:p>
    <w:p w14:paraId="60171F59" w14:textId="77777777" w:rsidR="00AD4CFF" w:rsidRPr="00AD4CFF" w:rsidRDefault="00AD4CFF" w:rsidP="00AD4CFF">
      <w:r w:rsidRPr="00AD4CFF">
        <w:rPr>
          <w:b/>
          <w:bCs/>
        </w:rPr>
        <w:t>5) Как читать более тонкие детали.</w:t>
      </w:r>
      <w:r w:rsidRPr="00AD4CFF">
        <w:br/>
        <w:t xml:space="preserve">Особенно интересен контраст между mean_vix[t] и mean_vix[t-1]: текущий VIX у вас — beta_core, а лаговый — bridge. Это можно интерпретировать так: текущая внешняя неопределённость в первую очередь меняет межвременную цену решения о потреблении, тогда как устойчивое состояние волатильности уже начинает одновременно влиять и на ожидания, и на риск-предпочтения. Аналогично, unemployment_rate[t] оказался в beta_core, а не в gamma_core: это не противоречит precautionary theory, а скорее означает, что в вашей спецификации уровень безработицы после учёта реальных доходов и выпуска ведёт себя как широкая макро-ожидаемая переменная, а не как отдельный риск-канал. Такое чтение особенно разумно в ежемесячных данных, где многие индикаторы труда и доверия частично дублируют друг друга и агрегируются в один state variable. </w:t>
      </w:r>
    </w:p>
    <w:p w14:paraId="721A95C9" w14:textId="77777777" w:rsidR="00AD4CFF" w:rsidRPr="00AD4CFF" w:rsidRDefault="00AD4CFF" w:rsidP="00AD4CFF">
      <w:r w:rsidRPr="00AD4CFF">
        <w:rPr>
          <w:b/>
          <w:bCs/>
        </w:rPr>
        <w:t>6) Что важно подчеркнуть в тексте диплома.</w:t>
      </w:r>
      <w:r w:rsidRPr="00AD4CFF">
        <w:br/>
        <w:t xml:space="preserve">Самый сильный вывод здесь такой: ваш оптимальный портфель не просто “набор значимых факторов”, а </w:t>
      </w:r>
      <w:r w:rsidRPr="00AD4CFF">
        <w:rPr>
          <w:b/>
          <w:bCs/>
        </w:rPr>
        <w:t>структурированное информационное множество</w:t>
      </w:r>
      <w:r w:rsidRPr="00AD4CFF">
        <w:t>. Оно показывает, что агент смотрит на экономику через три независимых окна: цену межвременного переноса, внешнюю неопределённость и реальный доходно-производственный риск. Это очень хорошая эмпирическая картина для модели Эйлера, потому что она совпадает с теорией интертемпорального выбора и с тем, что в эмпирических исследованиях потребление особенно чувствительно к процентным условиям, ожиданиям и риску дохода. Для российских данных важен ещё один штрих: нефтяная и валютная волатильность попадают в портфель через риск- и финансовый канал, что согласуется с литературой о том, что нефтяные шоки в России передаются через промышленность, инфляцию, курс и ставку, а не только через уровень цен на нефть как таковой.</w:t>
      </w:r>
    </w:p>
    <w:p w14:paraId="7F98B471" w14:textId="77777777" w:rsidR="00DB027F" w:rsidRDefault="00DB027F"/>
    <w:sectPr w:rsidR="00DB0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25"/>
    <w:rsid w:val="00231C3D"/>
    <w:rsid w:val="004F1D25"/>
    <w:rsid w:val="00AD4CFF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48F51-D478-435D-83E9-758304FB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2</cp:revision>
  <dcterms:created xsi:type="dcterms:W3CDTF">2026-03-28T12:47:00Z</dcterms:created>
  <dcterms:modified xsi:type="dcterms:W3CDTF">2026-03-28T12:47:00Z</dcterms:modified>
</cp:coreProperties>
</file>