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9036E" w14:textId="77777777" w:rsidR="0097429E" w:rsidRPr="0097429E" w:rsidRDefault="0097429E" w:rsidP="0097429E">
      <w:pPr>
        <w:rPr>
          <w:b/>
          <w:bCs/>
        </w:rPr>
      </w:pPr>
      <w:r w:rsidRPr="0097429E">
        <w:rPr>
          <w:b/>
          <w:bCs/>
        </w:rPr>
        <w:t>Частичная релевантность как экономическая интерпретация GMM-идентификации</w:t>
      </w:r>
    </w:p>
    <w:p w14:paraId="3DB55CFE" w14:textId="77777777" w:rsidR="0097429E" w:rsidRPr="0097429E" w:rsidRDefault="0097429E" w:rsidP="0097429E">
      <w:r w:rsidRPr="0097429E">
        <w:t xml:space="preserve">В вашей модели потребления функция момента имеет стандартную Euler-структуру, где β\betaβ задаёт межвременное дисконтирование, а γ\gammaγ — кривизну полезности, то есть чувствительность агента к риску и колебаниям потребления. В такой спецификации partial unconditional relevance естественно читать как вопрос о том, что именно идентифицирует момент: уровень межвременной цены переноса потребления или степень предосторожности/неприятия риска. Эта логика согласуется с классической традицией Hall, где оптимизация потребления порождает предсказуемую динамику через Euler equation, и с Breeden, где предельная полезность потребления становится центральной переменной в межвременном ценообразовании. </w:t>
      </w:r>
    </w:p>
    <w:p w14:paraId="71BD416E" w14:textId="77777777" w:rsidR="0097429E" w:rsidRPr="0097429E" w:rsidRDefault="0097429E" w:rsidP="0097429E">
      <w:r w:rsidRPr="0097429E">
        <w:t xml:space="preserve">Отсюда следует важное различие. Если момент значим для β\betaβ, но не для γ\gammaγ, это означает, что он меняет прежде всего </w:t>
      </w:r>
      <w:r w:rsidRPr="0097429E">
        <w:rPr>
          <w:b/>
          <w:bCs/>
        </w:rPr>
        <w:t>уровень межвременного выбора</w:t>
      </w:r>
      <w:r w:rsidRPr="0097429E">
        <w:t xml:space="preserve">: насколько агент готов переносить потребление из настоящего в будущее. Если момент значим для γ\gammaγ, но не для β\betaβ, он скорее информирует о </w:t>
      </w:r>
      <w:r w:rsidRPr="0097429E">
        <w:rPr>
          <w:b/>
          <w:bCs/>
        </w:rPr>
        <w:t>неопределённости, риске и кривизне</w:t>
      </w:r>
      <w:r w:rsidRPr="0097429E">
        <w:t xml:space="preserve"> потребительской функции полезности, то есть о том, как агент реагирует на вариацию будущего потребления. Если момент значим только совместно для пары (</w:t>
      </w:r>
      <w:proofErr w:type="gramStart"/>
      <w:r w:rsidRPr="0097429E">
        <w:t>β,γ</w:t>
      </w:r>
      <w:proofErr w:type="gramEnd"/>
      <w:r w:rsidRPr="0097429E">
        <w:t xml:space="preserve">)(\beta,\gamma)(β,γ), но не по отдельности, это обычно означает, что его информационный вклад лежит вдоль некоторого «наклонного» направления в пространстве параметров, а не вдоль одной оси. Это не противоречит теории; наоборот, это типичная ситуация для нелинейной GMM-идентификации. </w:t>
      </w:r>
    </w:p>
    <w:p w14:paraId="04840BE8" w14:textId="77777777" w:rsidR="0097429E" w:rsidRPr="0097429E" w:rsidRDefault="0097429E" w:rsidP="0097429E">
      <w:r w:rsidRPr="0097429E">
        <w:pict w14:anchorId="02DF9FAF">
          <v:rect id="_x0000_i1055" style="width:0;height:1.5pt" o:hralign="center" o:hrstd="t" o:hr="t" fillcolor="#a0a0a0" stroked="f"/>
        </w:pict>
      </w:r>
    </w:p>
    <w:p w14:paraId="58C968F8" w14:textId="77777777" w:rsidR="0097429E" w:rsidRPr="0097429E" w:rsidRDefault="0097429E" w:rsidP="0097429E">
      <w:pPr>
        <w:rPr>
          <w:b/>
          <w:bCs/>
        </w:rPr>
      </w:pPr>
      <w:r w:rsidRPr="0097429E">
        <w:rPr>
          <w:b/>
          <w:bCs/>
        </w:rPr>
        <w:t>1. Монетарно-финансовый блок: доминирует канал β\betaβ, а не γ\gammaγ</w:t>
      </w:r>
    </w:p>
    <w:p w14:paraId="41CCD9F2" w14:textId="77777777" w:rsidR="0097429E" w:rsidRPr="0097429E" w:rsidRDefault="0097429E" w:rsidP="0097429E">
      <w:r w:rsidRPr="0097429E">
        <w:t xml:space="preserve">В монетарно-финансовом блоке у вас почти все сильные переменные оказываются условно релевантны именно для β\betaβ: средняя ключевая ставка, наблюдаемая инфляция, спрэды по депозитно-кредитным ставкам, волатильность ставки, волатильность доходности индекса МосБиржи, а также сама константа. Это очень содержательный результат. Экономически он означает, что финансово-денежные показатели в вашей выборке главным образом объясняют </w:t>
      </w:r>
      <w:r w:rsidRPr="0097429E">
        <w:rPr>
          <w:b/>
          <w:bCs/>
        </w:rPr>
        <w:t>межвременную цену отсрочки потребления</w:t>
      </w:r>
      <w:r w:rsidRPr="0097429E">
        <w:t xml:space="preserve">. В Euler-модели именно реальные ставки и реальные издержки финансирования определяют, насколько выгодно переносить потребление на следующий период; поэтому инфляция, процентная политика и кредитные спрэды естественно идентифицируют прежде всего параметр терпения. Такая интерпретация полностью согласуется с традицией Euler equation в потреблении и consumption-based asset pricing, где дисконтирование и реальные межвременные относительные цены играют ключевую роль. </w:t>
      </w:r>
    </w:p>
    <w:p w14:paraId="6AD1E94F" w14:textId="77777777" w:rsidR="0097429E" w:rsidRPr="0097429E" w:rsidRDefault="0097429E" w:rsidP="0097429E">
      <w:r w:rsidRPr="0097429E">
        <w:t xml:space="preserve">То, что краткосрочная реальная доходность депозитов R[t]R[t]R[t] в полной таблице значима для модели в целом, но незначима отдельно ни для β\betaβ, ни для </w:t>
      </w:r>
      <w:r w:rsidRPr="0097429E">
        <w:lastRenderedPageBreak/>
        <w:t xml:space="preserve">γ\gammaγ, — особенно важный и нетривиальный результат. Это означает, что данный момент добавляет информацию </w:t>
      </w:r>
      <w:r w:rsidRPr="0097429E">
        <w:rPr>
          <w:b/>
          <w:bCs/>
        </w:rPr>
        <w:t>только совместно</w:t>
      </w:r>
      <w:r w:rsidRPr="0097429E">
        <w:t xml:space="preserve"> с другими финансовыми переменными. Экономически это можно трактовать так: не сама по себе месячная реальная доходность депозита, а её место в системе ставок, инфляции и спредов даёт идентификацию. Иными словами, момент R[t]R[t]R[t] не является самостоятельным каналом для одного параметра; он работает как элемент общей конфигурации реальной стоимости денег. То, что monthly stock return по индексу МосБиржи не проходит ни как beta-, ни как gamma-канал, показывает, что краткосрочный рыночный шум в вашем наборе не несёт устойчивой локальной информации для параметров Эйлера. </w:t>
      </w:r>
    </w:p>
    <w:p w14:paraId="11F07815" w14:textId="77777777" w:rsidR="0097429E" w:rsidRPr="0097429E" w:rsidRDefault="0097429E" w:rsidP="0097429E">
      <w:r w:rsidRPr="0097429E">
        <w:t xml:space="preserve">Отдельно стоит отметить, что константа закономерно оказывается релевантной для β\betaβ, но не для γ\gammaγ. Это не стоит переинтерпретировать как «экономический фактор»; скорее, это нормализационный элемент, который в нелинейной Euler-спецификации помогает зафиксировать средний уровень интертемпорального соотношения и потому естественно поддерживает идентификацию параметра дисконтирования. Для диплома это можно описать как техническую, но экономически ожидаемую часть результата: baseline-компонента уравнения работает на уровень предпочтений во времени, а не на кривизну полезности. </w:t>
      </w:r>
    </w:p>
    <w:p w14:paraId="513B852F" w14:textId="77777777" w:rsidR="0097429E" w:rsidRPr="0097429E" w:rsidRDefault="0097429E" w:rsidP="0097429E">
      <w:r w:rsidRPr="0097429E">
        <w:t xml:space="preserve">Итак, по монетарно-финансовому блоку главный вывод таков: </w:t>
      </w:r>
      <w:r w:rsidRPr="0097429E">
        <w:rPr>
          <w:b/>
          <w:bCs/>
        </w:rPr>
        <w:t>идентификация β\betaβ строится на реальной цене денег, на уровне и волатильности ставки, на инфляции и на спрэдах; γ\gammaγ этим блоком почти не поддерживается</w:t>
      </w:r>
      <w:r w:rsidRPr="0097429E">
        <w:t xml:space="preserve">. Это означает, что финансовая среда в вашей модели прежде всего отвечает за межвременной выбор, а не за curvature/risk-aversion канал. Для центрального банка это важный вывод: денежно-кредитные переменные оказываются информационно значимыми не как абстрактный фон, а как прямой локальный идентификатор межвременного поведения домохозяйств. </w:t>
      </w:r>
    </w:p>
    <w:p w14:paraId="737147D1" w14:textId="77777777" w:rsidR="0097429E" w:rsidRPr="0097429E" w:rsidRDefault="0097429E" w:rsidP="0097429E">
      <w:r w:rsidRPr="0097429E">
        <w:pict w14:anchorId="57FDA915">
          <v:rect id="_x0000_i1056" style="width:0;height:1.5pt" o:hralign="center" o:hrstd="t" o:hr="t" fillcolor="#a0a0a0" stroked="f"/>
        </w:pict>
      </w:r>
    </w:p>
    <w:p w14:paraId="5BDD24C5" w14:textId="77777777" w:rsidR="0097429E" w:rsidRPr="0097429E" w:rsidRDefault="0097429E" w:rsidP="0097429E">
      <w:pPr>
        <w:rPr>
          <w:b/>
          <w:bCs/>
        </w:rPr>
      </w:pPr>
      <w:r w:rsidRPr="0097429E">
        <w:rPr>
          <w:b/>
          <w:bCs/>
        </w:rPr>
        <w:t>2. Блок фундаментальных макроэкономических условий: зарплата идёт в γ\gammaγ, доверие — в β\betaβ</w:t>
      </w:r>
    </w:p>
    <w:p w14:paraId="4DD87F8B" w14:textId="77777777" w:rsidR="0097429E" w:rsidRPr="0097429E" w:rsidRDefault="0097429E" w:rsidP="0097429E">
      <w:r w:rsidRPr="0097429E">
        <w:t xml:space="preserve">Во втором блоке наиболее важный результат состоит в том, что рост реальной заработной платы оказывается условно релевантным именно для γ\gammaγ, тогда как потребительское доверие на всех трёх лагах и безработица в основном работают как β\betaβ-каналы. Это очень содержательная структура. Реальная зарплата — это прямой индикатор текущего трудового дохода и его изменения; в модели потребления такой сигнал меняет не только бюджетное ограничение, но и восприятие риска будущего потребления. Именно поэтому знак и динамика заработной платы часто оказываются связаны с кривизной полезности и precautionary motive: когда трудовой доход растёт устойчиво, агент воспринимает траекторию потребления как менее рискованную, а когда он становится волатильным, растёт значимость осторожностного поведения. В литературе по </w:t>
      </w:r>
      <w:r w:rsidRPr="0097429E">
        <w:lastRenderedPageBreak/>
        <w:t xml:space="preserve">precautionary saving это как раз один из центральных каналов: неопределённость по доходу и занятости влияет на потребление через страх неблагоприятной траектории будущих ресурсов. </w:t>
      </w:r>
    </w:p>
    <w:p w14:paraId="05A1D982" w14:textId="77777777" w:rsidR="0097429E" w:rsidRPr="0097429E" w:rsidRDefault="0097429E" w:rsidP="0097429E">
      <w:r w:rsidRPr="0097429E">
        <w:t xml:space="preserve">То, что потребительское доверие у вас остаётся условно релевантным именно для β\betaβ, — один из самых экономически осмысленных результатов. Confidence-индикаторы обычно отражают ожидания домашних хозяйств относительно будущих доходов, занятости и общей макроэкономической ситуации, а не дисперсию будущих исходов как таковую. Поэтому они естественно входят в канал межвременного выбора: если домохозяйства ожидают улучшения будущих условий, это меняет готовность переносить потребление во времени, то есть влияет на параметр терпения или, точнее, на то, как модель локально интерпретирует ожидаемую траекторию полезности. ECB-публикация Дееса и Бринки показывает, что consumer confidence может оставаться хорошим предиктором потребления даже после учёта фундаментальных факторов, а её информационная роль усиливается при резких изменениях настроений. </w:t>
      </w:r>
    </w:p>
    <w:p w14:paraId="2D21F3D2" w14:textId="77777777" w:rsidR="0097429E" w:rsidRPr="0097429E" w:rsidRDefault="0097429E" w:rsidP="0097429E">
      <w:r w:rsidRPr="0097429E">
        <w:t xml:space="preserve">Безработица в вашей полной таблице тоже преимущественно помогает β\betaβ, а не γ\gammaγ. Это согласуется с precautionary-savings-логикой, но в более узком смысле: уровень безработицы — это не просто текущая конъюнктура, а агрегированный индикатор риска потери дохода. Именно такой риск влияет на решение о переносе потребления и на осторожностное сбережение. Carroll, Dynan и Krane прямо показывают, что рост unemployment risk связан с precautionary wealth, хотя сила эффекта зависит от уровня дохода и от того, как измеряется богатство; их вывод важен как раз тем, что job-loss risk выступает не как шумовой макропоказатель, а как компонент мотива осторожного поведения. В вашей спецификации это проявляется как локальная релевантность безработицы для канала β\betaβ, но не для отдельного канала γ\gammaγ. </w:t>
      </w:r>
    </w:p>
    <w:p w14:paraId="0A937D7C" w14:textId="77777777" w:rsidR="0097429E" w:rsidRPr="0097429E" w:rsidRDefault="0097429E" w:rsidP="0097429E">
      <w:r w:rsidRPr="0097429E">
        <w:t xml:space="preserve">При этом показатель изменения безработицы за месяц у вас не даёт устойчивой частичной релевантности. Это тоже экономически правдоподобно: домохозяйства обычно реагируют не на одномесячное приращение безработицы, а на сам уровень риска в экономике и на устойчивую траекторию занятости. Поэтому в вашем результате именно уровень, а не изменение, становится релевантным идентификатором. В дипломе это можно сформулировать так: </w:t>
      </w:r>
      <w:r w:rsidRPr="0097429E">
        <w:rPr>
          <w:b/>
          <w:bCs/>
        </w:rPr>
        <w:t>трудовой рынок важен не как разовый шок, а как состояние риска</w:t>
      </w:r>
      <w:r w:rsidRPr="0097429E">
        <w:t xml:space="preserve">, которое влияет на intertemporal valuation. </w:t>
      </w:r>
    </w:p>
    <w:p w14:paraId="5741A861" w14:textId="77777777" w:rsidR="0097429E" w:rsidRPr="0097429E" w:rsidRDefault="0097429E" w:rsidP="0097429E">
      <w:r w:rsidRPr="0097429E">
        <w:pict w14:anchorId="394C606D">
          <v:rect id="_x0000_i1057" style="width:0;height:1.5pt" o:hralign="center" o:hrstd="t" o:hr="t" fillcolor="#a0a0a0" stroked="f"/>
        </w:pict>
      </w:r>
    </w:p>
    <w:p w14:paraId="0CE58322" w14:textId="77777777" w:rsidR="0097429E" w:rsidRPr="0097429E" w:rsidRDefault="0097429E" w:rsidP="0097429E">
      <w:pPr>
        <w:rPr>
          <w:b/>
          <w:bCs/>
        </w:rPr>
      </w:pPr>
      <w:r w:rsidRPr="0097429E">
        <w:rPr>
          <w:b/>
          <w:bCs/>
        </w:rPr>
        <w:t>3. Внешний блок: неопределённость работает на β\betaβ, но почти не на γ\gammaγ</w:t>
      </w:r>
    </w:p>
    <w:p w14:paraId="5BE4666C" w14:textId="77777777" w:rsidR="0097429E" w:rsidRPr="0097429E" w:rsidRDefault="0097429E" w:rsidP="0097429E">
      <w:r w:rsidRPr="0097429E">
        <w:t xml:space="preserve">Во внешнем блоке картина ещё более однозначна: практически все переменные, которые оказываются частично релевантными, работают через β\betaβ, а не через γ\gammaγ. Это относится к среднему значению VIX, его лагу, волатильности VIX, </w:t>
      </w:r>
      <w:r w:rsidRPr="0097429E">
        <w:lastRenderedPageBreak/>
        <w:t xml:space="preserve">волатильности нефтяной доходности, волатильности курса USD/RUB и ставке федеральных фондов США. Такая структура очень хорошо интерпретируется как </w:t>
      </w:r>
      <w:r w:rsidRPr="0097429E">
        <w:rPr>
          <w:b/>
          <w:bCs/>
        </w:rPr>
        <w:t>канал внешней неопределённости и международных финансовых условий</w:t>
      </w:r>
      <w:r w:rsidRPr="0097429E">
        <w:t xml:space="preserve">, а не как канал изменения curvature utility. Cboe определяет VIX как показатель ожиданий 30-дневной волатильности, то есть как forward-looking меру рыночной неопределённости; поэтому его значимость для β\betaβ в вашей модели естественно читать как влияние внешнего режима неопределённости на межвременной выбор. </w:t>
      </w:r>
    </w:p>
    <w:p w14:paraId="643A2A7A" w14:textId="77777777" w:rsidR="0097429E" w:rsidRPr="0097429E" w:rsidRDefault="0097429E" w:rsidP="0097429E">
      <w:r w:rsidRPr="0097429E">
        <w:t xml:space="preserve">Особенно важно, что в вашем тесте значимы именно волатильности Brent и USD/RUB, а не их уровни или месячные доходности. Это крайне содержательно с точки зрения интерпретации. Уровень нефтяной или валютной доходности — это направленный шок; волатильность же — это информация о нестабильности среды. Для потребителя в ежемесячной модели именно нестабильность внешних условий делает будущее потребление менее предсказуемым, а значит влияет на интертемпоральный выбор сильнее, чем разовый знак изменения цены. Для российской экономики такая интерпретация не противоречит эмпирической литературе: исследования по России показывают, что нефтяные шоки и связанные с ними изменения внешних условий усиливают финансовый стресс и воздействуют на денежно-кредитную среду; в вашем тесте это проявляется не через return-канал, а через volatility-канал. </w:t>
      </w:r>
    </w:p>
    <w:p w14:paraId="267C8415" w14:textId="77777777" w:rsidR="0097429E" w:rsidRPr="0097429E" w:rsidRDefault="0097429E" w:rsidP="0097429E">
      <w:r w:rsidRPr="0097429E">
        <w:t xml:space="preserve">Отдельно стоит подчеркнуть, что федеральная ставка США в вашей модели также выступает как β\betaβ-канал. Это не обязательно означает прямой американский monetary transmission в бытовом смысле; скорее, ставка ФРС здесь выступает как индикатор глобальных финансовых условий и мирового risk-free environment, который меняет межвременные относительные цены и стоимость капитала. То, что этот показатель не идентифицирует γ\gammaγ, дополнительно подтверждает: внешний блок у вас работает прежде всего как блок </w:t>
      </w:r>
      <w:r w:rsidRPr="0097429E">
        <w:rPr>
          <w:b/>
          <w:bCs/>
        </w:rPr>
        <w:t>discounting / pricing kernel environment</w:t>
      </w:r>
      <w:r w:rsidRPr="0097429E">
        <w:t xml:space="preserve">, а не как прямой измеритель потребительского риска. </w:t>
      </w:r>
    </w:p>
    <w:p w14:paraId="11E3D37A" w14:textId="77777777" w:rsidR="0097429E" w:rsidRPr="0097429E" w:rsidRDefault="0097429E" w:rsidP="0097429E">
      <w:r w:rsidRPr="0097429E">
        <w:t xml:space="preserve">Важный вывод из этого блока таков: </w:t>
      </w:r>
      <w:r w:rsidRPr="0097429E">
        <w:rPr>
          <w:b/>
          <w:bCs/>
        </w:rPr>
        <w:t>для параметра β\betaβ внешняя среда является информационно значимой через volatility and policy-rate channels, тогда как параметр γ\gammaγ почти не получает от неё отдельной локальной информации</w:t>
      </w:r>
      <w:r w:rsidRPr="0097429E">
        <w:t xml:space="preserve">. Это хорошо совпадает с теорией межвременного выбора: внешняя неопределённость меняет то, как агент сопоставляет текущее и будущее потребление, но не обязательно меняет его структурную степень неприятия риска в локальной идентификации. </w:t>
      </w:r>
    </w:p>
    <w:p w14:paraId="6C34AB7C" w14:textId="77777777" w:rsidR="0097429E" w:rsidRPr="0097429E" w:rsidRDefault="0097429E" w:rsidP="0097429E">
      <w:r w:rsidRPr="0097429E">
        <w:pict w14:anchorId="421BFF41">
          <v:rect id="_x0000_i1058" style="width:0;height:1.5pt" o:hralign="center" o:hrstd="t" o:hr="t" fillcolor="#a0a0a0" stroked="f"/>
        </w:pict>
      </w:r>
    </w:p>
    <w:p w14:paraId="3BA3AEC8" w14:textId="77777777" w:rsidR="0097429E" w:rsidRPr="0097429E" w:rsidRDefault="0097429E" w:rsidP="0097429E">
      <w:pPr>
        <w:rPr>
          <w:b/>
          <w:bCs/>
        </w:rPr>
      </w:pPr>
      <w:r w:rsidRPr="0097429E">
        <w:rPr>
          <w:b/>
          <w:bCs/>
        </w:rPr>
        <w:t>4. Объединённое поле: β\betaβ — это денежно-финансово-ожидательный канал, γ\gammaγ — реальный доходно-производственный канал</w:t>
      </w:r>
    </w:p>
    <w:p w14:paraId="1174F684" w14:textId="77777777" w:rsidR="0097429E" w:rsidRPr="0097429E" w:rsidRDefault="0097429E" w:rsidP="0097429E">
      <w:r w:rsidRPr="0097429E">
        <w:t xml:space="preserve">Самый сильный результат появляется в объединённой спецификации. Здесь почти все переменные, которые были значимы ранее, продолжают работать либо как β\betaβ-каналы, либо как γ\gammaγ-каналы, но общая структура становится гораздо более чёткой. Для β\betaβ остаются релевантными ставка, инфляция, спрэды, </w:t>
      </w:r>
      <w:r w:rsidRPr="0097429E">
        <w:lastRenderedPageBreak/>
        <w:t xml:space="preserve">доверие, VIX, волатильность валюты и нефти, а также уровень МосБиржи; для γ\gammaγ релевантность сохраняют прежде всего реальная заработная плата и индикатор промышленной динамики, а частично — розничная активность. Это означает, что в полной модели параметр терпения идентифицируется через </w:t>
      </w:r>
      <w:r w:rsidRPr="0097429E">
        <w:rPr>
          <w:b/>
          <w:bCs/>
        </w:rPr>
        <w:t>номинально-финансовую и ожидательную среду</w:t>
      </w:r>
      <w:r w:rsidRPr="0097429E">
        <w:t xml:space="preserve">, а параметр риска — через </w:t>
      </w:r>
      <w:r w:rsidRPr="0097429E">
        <w:rPr>
          <w:b/>
          <w:bCs/>
        </w:rPr>
        <w:t>реальную динамику доходов и выпуска</w:t>
      </w:r>
      <w:r w:rsidRPr="0097429E">
        <w:t xml:space="preserve">. Такая раскладка очень хорошо согласуется с тем, как в Euler-модели устроены различные компоненты момента: β\betaβ масштабирует уровень межвременной дисконтировки, а γ\gammaγ управляет кривизной и, следовательно, чувствительностью к колебаниям будущего потребления. </w:t>
      </w:r>
    </w:p>
    <w:p w14:paraId="4F21E0D9" w14:textId="77777777" w:rsidR="0097429E" w:rsidRPr="0097429E" w:rsidRDefault="0097429E" w:rsidP="0097429E">
      <w:r w:rsidRPr="0097429E">
        <w:t xml:space="preserve">Особенно важен тот факт, что в полной таблице </w:t>
      </w:r>
      <w:r w:rsidRPr="0097429E">
        <w:rPr>
          <w:b/>
          <w:bCs/>
        </w:rPr>
        <w:t>consumer confidence остаётся устойчиво β\betaβ-значимой, но не γ\gammaγ-значимой</w:t>
      </w:r>
      <w:r w:rsidRPr="0097429E">
        <w:t xml:space="preserve">. Это означает, что ожидания домохозяйств не просто дублируют объективные макропеременные, а имеют собственную роль в межвременном выборе. И наоборот, </w:t>
      </w:r>
      <w:r w:rsidRPr="0097429E">
        <w:rPr>
          <w:b/>
          <w:bCs/>
        </w:rPr>
        <w:t>real wage growth and industrial production</w:t>
      </w:r>
      <w:r w:rsidRPr="0097429E">
        <w:t xml:space="preserve"> работают преимущественно на γ\gammaγ, что вполне естественно: эти переменные лучше отражают изменение текущей и ожидаемой траектории потребительских ресурсов и, следовательно, риск будущего потребления. Для главы это можно сформулировать так: субъективные ожидания в вашей модели объясняют </w:t>
      </w:r>
      <w:r w:rsidRPr="0097429E">
        <w:rPr>
          <w:i/>
          <w:iCs/>
        </w:rPr>
        <w:t>timing</w:t>
      </w:r>
      <w:r w:rsidRPr="0097429E">
        <w:t xml:space="preserve"> потребления, а реальные показатели трудового дохода и выпуска — </w:t>
      </w:r>
      <w:r w:rsidRPr="0097429E">
        <w:rPr>
          <w:i/>
          <w:iCs/>
        </w:rPr>
        <w:t>risk curvature</w:t>
      </w:r>
      <w:r w:rsidRPr="0097429E">
        <w:t xml:space="preserve"> потребительского выбора. </w:t>
      </w:r>
    </w:p>
    <w:p w14:paraId="61BBB5D4" w14:textId="77777777" w:rsidR="0097429E" w:rsidRPr="0097429E" w:rsidRDefault="0097429E" w:rsidP="0097429E">
      <w:r w:rsidRPr="0097429E">
        <w:t xml:space="preserve">Очень важна и отрицательная часть результата. Многие переменные, которые были существенны в unconditional relevance или conditional relevance, в partial-unconditional setting теряют отдельную значимость для β\betaβ и γ\gammaγ, но иногда остаются значимыми для параметрического вектора в целом. Это означает, что они не являются «плохими» или «бесполезными» инструментами; скорее, их вклад является </w:t>
      </w:r>
      <w:r w:rsidRPr="0097429E">
        <w:rPr>
          <w:b/>
          <w:bCs/>
        </w:rPr>
        <w:t>совместным и комбинированным</w:t>
      </w:r>
      <w:r w:rsidRPr="0097429E">
        <w:t>. Например, реальная доходность депозитов в полной модели может быть релевантной для вектора (</w:t>
      </w:r>
      <w:proofErr w:type="gramStart"/>
      <w:r w:rsidRPr="0097429E">
        <w:t>β,γ</w:t>
      </w:r>
      <w:proofErr w:type="gramEnd"/>
      <w:r w:rsidRPr="0097429E">
        <w:t xml:space="preserve">)(\beta,\gamma)(β,γ), но не раскладываться на одну ось, потому что она несёт информацию о системе доходности и потребительской цены денег только в совокупности с другими ставками и инфляцией. Аналогично, некоторые внешние переменные лучше объясняют общий SDF-режим, чем отдельный параметр. Это как раз тот случай, когда partial-unconditional relevance даёт более тонкую структурную картину, чем простой тест значимости для всего вектора параметров. </w:t>
      </w:r>
    </w:p>
    <w:p w14:paraId="793B6D6A" w14:textId="77777777" w:rsidR="0097429E" w:rsidRPr="0097429E" w:rsidRDefault="0097429E" w:rsidP="0097429E">
      <w:r w:rsidRPr="0097429E">
        <w:pict w14:anchorId="471C294B">
          <v:rect id="_x0000_i1059" style="width:0;height:1.5pt" o:hralign="center" o:hrstd="t" o:hr="t" fillcolor="#a0a0a0" stroked="f"/>
        </w:pict>
      </w:r>
    </w:p>
    <w:p w14:paraId="77E16ED2" w14:textId="77777777" w:rsidR="0097429E" w:rsidRPr="0097429E" w:rsidRDefault="0097429E" w:rsidP="0097429E">
      <w:pPr>
        <w:rPr>
          <w:b/>
          <w:bCs/>
        </w:rPr>
      </w:pPr>
      <w:r w:rsidRPr="0097429E">
        <w:rPr>
          <w:b/>
          <w:bCs/>
        </w:rPr>
        <w:t>5. Итоговая интерпретация для диплома</w:t>
      </w:r>
    </w:p>
    <w:p w14:paraId="1E655D1C" w14:textId="77777777" w:rsidR="0097429E" w:rsidRPr="0097429E" w:rsidRDefault="0097429E" w:rsidP="0097429E">
      <w:r w:rsidRPr="0097429E">
        <w:t xml:space="preserve">Если свести все результаты к одному экономическому выводу, то он будет таким. В вашей модели потребления параметр β\betaβ идентифицируется преимущественно через </w:t>
      </w:r>
      <w:r w:rsidRPr="0097429E">
        <w:rPr>
          <w:b/>
          <w:bCs/>
        </w:rPr>
        <w:t>межвременную цену денег, ожидания и внешнюю неопределённость</w:t>
      </w:r>
      <w:r w:rsidRPr="0097429E">
        <w:t xml:space="preserve">, а параметр γ\gammaγ — через </w:t>
      </w:r>
      <w:r w:rsidRPr="0097429E">
        <w:rPr>
          <w:b/>
          <w:bCs/>
        </w:rPr>
        <w:t>реальную динамику доходов и выпуска</w:t>
      </w:r>
      <w:r w:rsidRPr="0097429E">
        <w:t xml:space="preserve">, то есть через каналы, связанные с риском будущего потребления. Иначе говоря, ваш </w:t>
      </w:r>
      <w:r w:rsidRPr="0097429E">
        <w:lastRenderedPageBreak/>
        <w:t xml:space="preserve">«информационный мир агента» устроен не симметрично: одни переменные сообщают ему, как дорого переносить потребление во времени, другие — насколько рискованна сама будущая траектория потребления. Это очень хороший и экономически правдоподобный результат, потому что он воспроизводит ядро Euler-подхода: дисконтирование и риск — это не одно и то же, и в данных они могут идентифицироваться разными наборами моментов. </w:t>
      </w:r>
    </w:p>
    <w:p w14:paraId="31B1C786" w14:textId="77777777" w:rsidR="0097429E" w:rsidRPr="0097429E" w:rsidRDefault="0097429E" w:rsidP="0097429E">
      <w:r w:rsidRPr="0097429E">
        <w:t xml:space="preserve">Для практического вывода центрального банка это особенно полезно. Результаты показывают, что при месячных данных домохозяйства в первую очередь «считывают» не изолированные доходности активов, а целостную конфигурацию условий: ставку, инфляцию, кредитные спрэды, доверие, занятость и волатильность. При этом один набор переменных работает на интертемпоральный выбор, а другой — на риск и предосторожность. Такая структура делает модель не только статистически состоятельной, но и экономически интерпретируемой: она описывает не набор случайных корреляций, а именно то, как рациональный агент формирует решение о потреблении в условиях денежной, макро- и внешней неопределённости. </w:t>
      </w:r>
    </w:p>
    <w:p w14:paraId="6385FDB8" w14:textId="77777777" w:rsidR="00DB027F" w:rsidRPr="0097429E" w:rsidRDefault="00DB027F"/>
    <w:sectPr w:rsidR="00DB027F" w:rsidRPr="009742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06C"/>
    <w:rsid w:val="0045467F"/>
    <w:rsid w:val="0063506C"/>
    <w:rsid w:val="0097429E"/>
    <w:rsid w:val="00C756E2"/>
    <w:rsid w:val="00DB027F"/>
    <w:rsid w:val="00E21FFA"/>
    <w:rsid w:val="00E94AA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77D02"/>
  <w15:chartTrackingRefBased/>
  <w15:docId w15:val="{FFF49C61-434B-480E-A0E9-DB5E80B9F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35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635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6350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6350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6350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50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50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50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50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350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6350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6350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6350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6350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6350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3506C"/>
    <w:rPr>
      <w:rFonts w:eastAsiaTheme="majorEastAsia" w:cstheme="majorBidi"/>
      <w:color w:val="595959" w:themeColor="text1" w:themeTint="A6"/>
    </w:rPr>
  </w:style>
  <w:style w:type="character" w:customStyle="1" w:styleId="80">
    <w:name w:val="Заголовок 8 Знак"/>
    <w:basedOn w:val="a0"/>
    <w:link w:val="8"/>
    <w:uiPriority w:val="9"/>
    <w:semiHidden/>
    <w:rsid w:val="006350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3506C"/>
    <w:rPr>
      <w:rFonts w:eastAsiaTheme="majorEastAsia" w:cstheme="majorBidi"/>
      <w:color w:val="272727" w:themeColor="text1" w:themeTint="D8"/>
    </w:rPr>
  </w:style>
  <w:style w:type="paragraph" w:styleId="a3">
    <w:name w:val="Title"/>
    <w:basedOn w:val="a"/>
    <w:next w:val="a"/>
    <w:link w:val="a4"/>
    <w:uiPriority w:val="10"/>
    <w:qFormat/>
    <w:rsid w:val="006350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350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50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350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3506C"/>
    <w:pPr>
      <w:spacing w:before="160"/>
      <w:jc w:val="center"/>
    </w:pPr>
    <w:rPr>
      <w:i/>
      <w:iCs/>
      <w:color w:val="404040" w:themeColor="text1" w:themeTint="BF"/>
    </w:rPr>
  </w:style>
  <w:style w:type="character" w:customStyle="1" w:styleId="22">
    <w:name w:val="Цитата 2 Знак"/>
    <w:basedOn w:val="a0"/>
    <w:link w:val="21"/>
    <w:uiPriority w:val="29"/>
    <w:rsid w:val="0063506C"/>
    <w:rPr>
      <w:i/>
      <w:iCs/>
      <w:color w:val="404040" w:themeColor="text1" w:themeTint="BF"/>
    </w:rPr>
  </w:style>
  <w:style w:type="paragraph" w:styleId="a7">
    <w:name w:val="List Paragraph"/>
    <w:basedOn w:val="a"/>
    <w:uiPriority w:val="34"/>
    <w:qFormat/>
    <w:rsid w:val="0063506C"/>
    <w:pPr>
      <w:ind w:left="720"/>
      <w:contextualSpacing/>
    </w:pPr>
  </w:style>
  <w:style w:type="character" w:styleId="a8">
    <w:name w:val="Intense Emphasis"/>
    <w:basedOn w:val="a0"/>
    <w:uiPriority w:val="21"/>
    <w:qFormat/>
    <w:rsid w:val="0063506C"/>
    <w:rPr>
      <w:i/>
      <w:iCs/>
      <w:color w:val="0F4761" w:themeColor="accent1" w:themeShade="BF"/>
    </w:rPr>
  </w:style>
  <w:style w:type="paragraph" w:styleId="a9">
    <w:name w:val="Intense Quote"/>
    <w:basedOn w:val="a"/>
    <w:next w:val="a"/>
    <w:link w:val="aa"/>
    <w:uiPriority w:val="30"/>
    <w:qFormat/>
    <w:rsid w:val="00635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63506C"/>
    <w:rPr>
      <w:i/>
      <w:iCs/>
      <w:color w:val="0F4761" w:themeColor="accent1" w:themeShade="BF"/>
    </w:rPr>
  </w:style>
  <w:style w:type="character" w:styleId="ab">
    <w:name w:val="Intense Reference"/>
    <w:basedOn w:val="a0"/>
    <w:uiPriority w:val="32"/>
    <w:qFormat/>
    <w:rsid w:val="006350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3641422">
      <w:bodyDiv w:val="1"/>
      <w:marLeft w:val="0"/>
      <w:marRight w:val="0"/>
      <w:marTop w:val="0"/>
      <w:marBottom w:val="0"/>
      <w:divBdr>
        <w:top w:val="none" w:sz="0" w:space="0" w:color="auto"/>
        <w:left w:val="none" w:sz="0" w:space="0" w:color="auto"/>
        <w:bottom w:val="none" w:sz="0" w:space="0" w:color="auto"/>
        <w:right w:val="none" w:sz="0" w:space="0" w:color="auto"/>
      </w:divBdr>
    </w:div>
    <w:div w:id="2094274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2221</Words>
  <Characters>12664</Characters>
  <Application>Microsoft Office Word</Application>
  <DocSecurity>0</DocSecurity>
  <Lines>105</Lines>
  <Paragraphs>29</Paragraphs>
  <ScaleCrop>false</ScaleCrop>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Гладков Александр Евгеньевич</dc:creator>
  <cp:keywords/>
  <dc:description/>
  <cp:lastModifiedBy>Гладков Александр Евгеньевич</cp:lastModifiedBy>
  <cp:revision>2</cp:revision>
  <dcterms:created xsi:type="dcterms:W3CDTF">2026-03-27T10:28:00Z</dcterms:created>
  <dcterms:modified xsi:type="dcterms:W3CDTF">2026-03-27T10:42:00Z</dcterms:modified>
</cp:coreProperties>
</file>