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0C06A" w14:textId="61E34D45" w:rsidR="00850363" w:rsidRPr="00850363" w:rsidRDefault="00850363" w:rsidP="00850363">
      <w:pPr>
        <w:rPr>
          <w:lang w:val="en-US"/>
        </w:rPr>
      </w:pPr>
      <w:r w:rsidRPr="00850363">
        <w:t xml:space="preserve">Проведённый комплекс тестов позволяет рассматривать построенный портфель не просто как набор статистически значимых моментов, а как эмпирически выделенное </w:t>
      </w:r>
      <w:r w:rsidRPr="00850363">
        <w:rPr>
          <w:b/>
          <w:bCs/>
        </w:rPr>
        <w:t>информационное поле домохозяйства</w:t>
      </w:r>
      <w:r w:rsidRPr="00850363">
        <w:t xml:space="preserve">, то есть множество факторов, которые несут независимую информацию для межвременного решения о потреблении. В рамках такой постановки речь идёт уже о </w:t>
      </w:r>
      <w:r w:rsidRPr="00850363">
        <w:rPr>
          <w:b/>
          <w:bCs/>
        </w:rPr>
        <w:t>детерминантах потребления</w:t>
      </w:r>
      <w:r w:rsidRPr="00850363">
        <w:t xml:space="preserve"> в структурном смысле: не о любых переменных, коррелирующих с расходами, а о тех сигналах, которые добавляют новую идентификационную информацию к модели Эйлера. В официальных материалах Банка России подчёркивается, что ключевая ставка и коммуникация являются основными инструментами денежно-кредитной политики, а инфляционные ожидания — существенная часть механизма передачи политики, поскольку именно на их основе экономические агенты принимают решения о расходах, сбережениях и инвестициях. </w:t>
      </w:r>
      <w:r>
        <w:rPr>
          <w:lang w:val="en-US"/>
        </w:rPr>
        <w:t>(</w:t>
      </w:r>
      <w:hyperlink r:id="rId4" w:history="1">
        <w:r w:rsidRPr="00BB6895">
          <w:rPr>
            <w:rStyle w:val="ac"/>
            <w:lang w:val="en-US"/>
          </w:rPr>
          <w:t>https://www.cbr.ru/eng/dkp/w_infl/</w:t>
        </w:r>
      </w:hyperlink>
      <w:r>
        <w:rPr>
          <w:lang w:val="en-US"/>
        </w:rPr>
        <w:t>)</w:t>
      </w:r>
    </w:p>
    <w:p w14:paraId="5B62A2B5" w14:textId="4878D31A" w:rsidR="00850363" w:rsidRPr="00850363" w:rsidRDefault="00850363" w:rsidP="00850363">
      <w:r w:rsidRPr="00850363">
        <w:t xml:space="preserve">Особенно важен результат по CRTA в общем поле. Если после условного контроля условно релевантным остаётся только канал ключевой ставки, это корректно интерпретировать как то, что </w:t>
      </w:r>
      <w:r w:rsidRPr="00850363">
        <w:rPr>
          <w:b/>
          <w:bCs/>
        </w:rPr>
        <w:t>ключевая ставка Банка России является центральным узлом, в который вбирается информация из остальных каналов</w:t>
      </w:r>
      <w:r w:rsidRPr="00850363">
        <w:t xml:space="preserve">. В строгом смысле это не означает доказательство “абсолютной эффективности” монетарной политики, но означает, что в данной спецификации ставка остаётся единственным независимым условно релевантным каналом, тогда как другие факторы уже не добавляют отдельной локальной информации. Это согласуется с описанием Банком России трансмиссионного механизма, где ключевая ставка влияет на ставки и доходности в основных сегментах финансового рынка, а те, в свою очередь, воздействуют на решения экономических агентов, спрос и инфляцию. </w:t>
      </w:r>
      <w:r w:rsidRPr="00850363">
        <w:t>(</w:t>
      </w:r>
      <w:hyperlink r:id="rId5" w:history="1">
        <w:r w:rsidRPr="00BB6895">
          <w:rPr>
            <w:rStyle w:val="ac"/>
            <w:lang w:val="en-US"/>
          </w:rPr>
          <w:t>https</w:t>
        </w:r>
        <w:r w:rsidRPr="00850363">
          <w:rPr>
            <w:rStyle w:val="ac"/>
          </w:rPr>
          <w:t>://</w:t>
        </w:r>
        <w:r w:rsidRPr="00BB6895">
          <w:rPr>
            <w:rStyle w:val="ac"/>
            <w:lang w:val="en-US"/>
          </w:rPr>
          <w:t>www</w:t>
        </w:r>
        <w:r w:rsidRPr="00850363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cbr</w:t>
        </w:r>
        <w:proofErr w:type="spellEnd"/>
        <w:r w:rsidRPr="00850363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ru</w:t>
        </w:r>
        <w:proofErr w:type="spellEnd"/>
        <w:r w:rsidRPr="00850363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eng</w:t>
        </w:r>
        <w:proofErr w:type="spellEnd"/>
        <w:r w:rsidRPr="00850363">
          <w:rPr>
            <w:rStyle w:val="ac"/>
          </w:rPr>
          <w:t>/</w:t>
        </w:r>
        <w:r w:rsidRPr="00BB6895">
          <w:rPr>
            <w:rStyle w:val="ac"/>
            <w:lang w:val="en-US"/>
          </w:rPr>
          <w:t>about</w:t>
        </w:r>
        <w:r w:rsidRPr="00850363">
          <w:rPr>
            <w:rStyle w:val="ac"/>
          </w:rPr>
          <w:t>_</w:t>
        </w:r>
        <w:proofErr w:type="spellStart"/>
        <w:r w:rsidRPr="00BB6895">
          <w:rPr>
            <w:rStyle w:val="ac"/>
            <w:lang w:val="en-US"/>
          </w:rPr>
          <w:t>br</w:t>
        </w:r>
        <w:proofErr w:type="spellEnd"/>
        <w:r w:rsidRPr="00850363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publ</w:t>
        </w:r>
        <w:proofErr w:type="spellEnd"/>
        <w:r w:rsidRPr="00850363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ondkp</w:t>
        </w:r>
        <w:proofErr w:type="spellEnd"/>
        <w:r w:rsidRPr="00850363">
          <w:rPr>
            <w:rStyle w:val="ac"/>
          </w:rPr>
          <w:t>/</w:t>
        </w:r>
        <w:r w:rsidRPr="00BB6895">
          <w:rPr>
            <w:rStyle w:val="ac"/>
            <w:lang w:val="en-US"/>
          </w:rPr>
          <w:t>on</w:t>
        </w:r>
        <w:r w:rsidRPr="00850363">
          <w:rPr>
            <w:rStyle w:val="ac"/>
          </w:rPr>
          <w:t>_2025_2027/</w:t>
        </w:r>
      </w:hyperlink>
      <w:r w:rsidRPr="00850363">
        <w:t>)</w:t>
      </w:r>
    </w:p>
    <w:p w14:paraId="7208F1DC" w14:textId="26D02B62" w:rsidR="00850363" w:rsidRPr="00850363" w:rsidRDefault="00850363" w:rsidP="00850363">
      <w:r w:rsidRPr="00850363">
        <w:t xml:space="preserve">Из этого следует важный практический вывод для денежно-кредитной политики: ваш результат можно использовать как </w:t>
      </w:r>
      <w:r w:rsidRPr="00850363">
        <w:rPr>
          <w:b/>
          <w:bCs/>
        </w:rPr>
        <w:t>диагностический индикатор качества трансмиссии</w:t>
      </w:r>
      <w:r w:rsidRPr="00850363">
        <w:t xml:space="preserve">. Если в общем поле только ключевая ставка остаётся условно релевантной, это означает, что передача политики в данных действительно концентрируется вокруг ставочного канала. Если в последующих оценках появятся дополнительные условно релевантные независимые каналы, это будет означать, что передача политики становится менее концентрированной и что одна лишь ставка уже не “собирает” всю информацию о поведении домохозяйств. Такой вывод полезен именно как мониторинг структуры трансмиссии, а не как прогноз уровня потребления. </w:t>
      </w:r>
      <w:r w:rsidRPr="00850363">
        <w:t>(</w:t>
      </w:r>
      <w:hyperlink r:id="rId6" w:history="1">
        <w:r w:rsidRPr="00BB6895">
          <w:rPr>
            <w:rStyle w:val="ac"/>
            <w:lang w:val="en-US"/>
          </w:rPr>
          <w:t>https</w:t>
        </w:r>
        <w:r w:rsidRPr="00850363">
          <w:rPr>
            <w:rStyle w:val="ac"/>
          </w:rPr>
          <w:t>://</w:t>
        </w:r>
        <w:r w:rsidRPr="00BB6895">
          <w:rPr>
            <w:rStyle w:val="ac"/>
            <w:lang w:val="en-US"/>
          </w:rPr>
          <w:t>www</w:t>
        </w:r>
        <w:r w:rsidRPr="00850363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cbr</w:t>
        </w:r>
        <w:proofErr w:type="spellEnd"/>
        <w:r w:rsidRPr="00850363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ru</w:t>
        </w:r>
        <w:proofErr w:type="spellEnd"/>
        <w:r w:rsidRPr="00850363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eng</w:t>
        </w:r>
        <w:proofErr w:type="spellEnd"/>
        <w:r w:rsidRPr="00850363">
          <w:rPr>
            <w:rStyle w:val="ac"/>
          </w:rPr>
          <w:t>/</w:t>
        </w:r>
        <w:r w:rsidRPr="00BB6895">
          <w:rPr>
            <w:rStyle w:val="ac"/>
            <w:lang w:val="en-US"/>
          </w:rPr>
          <w:t>about</w:t>
        </w:r>
        <w:r w:rsidRPr="00850363">
          <w:rPr>
            <w:rStyle w:val="ac"/>
          </w:rPr>
          <w:t>_</w:t>
        </w:r>
        <w:proofErr w:type="spellStart"/>
        <w:r w:rsidRPr="00BB6895">
          <w:rPr>
            <w:rStyle w:val="ac"/>
            <w:lang w:val="en-US"/>
          </w:rPr>
          <w:t>br</w:t>
        </w:r>
        <w:proofErr w:type="spellEnd"/>
        <w:r w:rsidRPr="00850363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publ</w:t>
        </w:r>
        <w:proofErr w:type="spellEnd"/>
        <w:r w:rsidRPr="00850363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ondkp</w:t>
        </w:r>
        <w:proofErr w:type="spellEnd"/>
        <w:r w:rsidRPr="00850363">
          <w:rPr>
            <w:rStyle w:val="ac"/>
          </w:rPr>
          <w:t>/</w:t>
        </w:r>
        <w:r w:rsidRPr="00BB6895">
          <w:rPr>
            <w:rStyle w:val="ac"/>
            <w:lang w:val="en-US"/>
          </w:rPr>
          <w:t>on</w:t>
        </w:r>
        <w:r w:rsidRPr="00850363">
          <w:rPr>
            <w:rStyle w:val="ac"/>
          </w:rPr>
          <w:t>_2025_2027/</w:t>
        </w:r>
      </w:hyperlink>
      <w:r w:rsidRPr="00850363">
        <w:t>)</w:t>
      </w:r>
    </w:p>
    <w:p w14:paraId="5C338BA4" w14:textId="58ED8837" w:rsidR="00850363" w:rsidRPr="00850363" w:rsidRDefault="00850363" w:rsidP="00850363">
      <w:r w:rsidRPr="00850363">
        <w:t xml:space="preserve">Практический смысл для бизнеса и управления состоит в том, что оптимальный портфель превращает разрозненные макро- и финансовые индикаторы в </w:t>
      </w:r>
      <w:r w:rsidRPr="00850363">
        <w:rPr>
          <w:b/>
          <w:bCs/>
        </w:rPr>
        <w:t>сжатую систему наблюдения за режимом потребительского поведения</w:t>
      </w:r>
      <w:r w:rsidRPr="00850363">
        <w:t xml:space="preserve">. В вашем портфеле можно выделить несколько экономически понятных групп факторов. Первая группа — это </w:t>
      </w:r>
      <w:r w:rsidRPr="00850363">
        <w:rPr>
          <w:b/>
          <w:bCs/>
        </w:rPr>
        <w:t>условия стоимости денег и кредитования</w:t>
      </w:r>
      <w:r w:rsidRPr="00850363">
        <w:t xml:space="preserve">: средняя ключевая ставка, краткосрочные и среднесрочные депозитно-кредитные спрэды, волатильность ставки. Вторая группа — </w:t>
      </w:r>
      <w:r w:rsidRPr="00850363">
        <w:rPr>
          <w:b/>
          <w:bCs/>
        </w:rPr>
        <w:t xml:space="preserve">ожидания и оценка экономической </w:t>
      </w:r>
      <w:r w:rsidRPr="00850363">
        <w:rPr>
          <w:b/>
          <w:bCs/>
        </w:rPr>
        <w:lastRenderedPageBreak/>
        <w:t>ситуации</w:t>
      </w:r>
      <w:r w:rsidRPr="00850363">
        <w:t xml:space="preserve">: потребительское доверие. Третья группа — </w:t>
      </w:r>
      <w:r w:rsidRPr="00850363">
        <w:rPr>
          <w:b/>
          <w:bCs/>
        </w:rPr>
        <w:t>реальная доходная база домохозяйств</w:t>
      </w:r>
      <w:r w:rsidRPr="00850363">
        <w:t xml:space="preserve">: рост реальной заработной платы, промышленная динамика и розничная активность. Четвёртая группа — </w:t>
      </w:r>
      <w:r w:rsidRPr="00850363">
        <w:rPr>
          <w:b/>
          <w:bCs/>
        </w:rPr>
        <w:t>внешняя неопределённость</w:t>
      </w:r>
      <w:r w:rsidRPr="00850363">
        <w:t xml:space="preserve">: VIX, волатильность нефтяного рынка и волатильность валютного курса. ECB прямо указывает, что потребительская уверенность связана с ожиданиями по личным финансам и крупным покупкам, а неопределённость влияет на склонность домохозяйств сокращать расходы или откладывать крупные покупки. </w:t>
      </w:r>
      <w:r w:rsidRPr="00850363">
        <w:t>(</w:t>
      </w:r>
      <w:hyperlink r:id="rId7" w:history="1">
        <w:r w:rsidRPr="00BB6895">
          <w:rPr>
            <w:rStyle w:val="ac"/>
            <w:lang w:val="en-US"/>
          </w:rPr>
          <w:t>https</w:t>
        </w:r>
        <w:r w:rsidRPr="00BB6895">
          <w:rPr>
            <w:rStyle w:val="ac"/>
          </w:rPr>
          <w:t>://</w:t>
        </w:r>
        <w:r w:rsidRPr="00BB6895">
          <w:rPr>
            <w:rStyle w:val="ac"/>
            <w:lang w:val="en-US"/>
          </w:rPr>
          <w:t>www</w:t>
        </w:r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ecb</w:t>
        </w:r>
        <w:proofErr w:type="spellEnd"/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europa</w:t>
        </w:r>
        <w:proofErr w:type="spellEnd"/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eu</w:t>
        </w:r>
        <w:proofErr w:type="spellEnd"/>
        <w:r w:rsidRPr="00BB6895">
          <w:rPr>
            <w:rStyle w:val="ac"/>
          </w:rPr>
          <w:t>/</w:t>
        </w:r>
        <w:r w:rsidRPr="00BB6895">
          <w:rPr>
            <w:rStyle w:val="ac"/>
            <w:lang w:val="en-US"/>
          </w:rPr>
          <w:t>press</w:t>
        </w:r>
        <w:r w:rsidRPr="00BB6895">
          <w:rPr>
            <w:rStyle w:val="ac"/>
          </w:rPr>
          <w:t>/</w:t>
        </w:r>
        <w:r w:rsidRPr="00BB6895">
          <w:rPr>
            <w:rStyle w:val="ac"/>
            <w:lang w:val="en-US"/>
          </w:rPr>
          <w:t>economic</w:t>
        </w:r>
        <w:r w:rsidRPr="00BB6895">
          <w:rPr>
            <w:rStyle w:val="ac"/>
          </w:rPr>
          <w:t>-</w:t>
        </w:r>
        <w:r w:rsidRPr="00BB6895">
          <w:rPr>
            <w:rStyle w:val="ac"/>
            <w:lang w:val="en-US"/>
          </w:rPr>
          <w:t>bulletin</w:t>
        </w:r>
        <w:r w:rsidRPr="00BB6895">
          <w:rPr>
            <w:rStyle w:val="ac"/>
          </w:rPr>
          <w:t>/</w:t>
        </w:r>
        <w:r w:rsidRPr="00BB6895">
          <w:rPr>
            <w:rStyle w:val="ac"/>
            <w:lang w:val="en-US"/>
          </w:rPr>
          <w:t>focus</w:t>
        </w:r>
        <w:r w:rsidRPr="00BB6895">
          <w:rPr>
            <w:rStyle w:val="ac"/>
          </w:rPr>
          <w:t>/2025/</w:t>
        </w:r>
        <w:r w:rsidRPr="00BB6895">
          <w:rPr>
            <w:rStyle w:val="ac"/>
            <w:lang w:val="en-US"/>
          </w:rPr>
          <w:t>html</w:t>
        </w:r>
        <w:r w:rsidRPr="00BB6895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ecb</w:t>
        </w:r>
        <w:proofErr w:type="spellEnd"/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ebbox</w:t>
        </w:r>
        <w:proofErr w:type="spellEnd"/>
        <w:r w:rsidRPr="00BB6895">
          <w:rPr>
            <w:rStyle w:val="ac"/>
          </w:rPr>
          <w:t>202505_01~304</w:t>
        </w:r>
        <w:r w:rsidRPr="00BB6895">
          <w:rPr>
            <w:rStyle w:val="ac"/>
            <w:lang w:val="en-US"/>
          </w:rPr>
          <w:t>c</w:t>
        </w:r>
        <w:r w:rsidRPr="00BB6895">
          <w:rPr>
            <w:rStyle w:val="ac"/>
          </w:rPr>
          <w:t>94491</w:t>
        </w:r>
        <w:r w:rsidRPr="00BB6895">
          <w:rPr>
            <w:rStyle w:val="ac"/>
            <w:lang w:val="en-US"/>
          </w:rPr>
          <w:t>d</w:t>
        </w:r>
        <w:r w:rsidRPr="00BB6895">
          <w:rPr>
            <w:rStyle w:val="ac"/>
          </w:rPr>
          <w:t>.</w:t>
        </w:r>
        <w:r w:rsidRPr="00BB6895">
          <w:rPr>
            <w:rStyle w:val="ac"/>
            <w:lang w:val="en-US"/>
          </w:rPr>
          <w:t>pt</w:t>
        </w:r>
        <w:r w:rsidRPr="00BB6895">
          <w:rPr>
            <w:rStyle w:val="ac"/>
          </w:rPr>
          <w:t>.</w:t>
        </w:r>
        <w:r w:rsidRPr="00BB6895">
          <w:rPr>
            <w:rStyle w:val="ac"/>
            <w:lang w:val="en-US"/>
          </w:rPr>
          <w:t>html</w:t>
        </w:r>
      </w:hyperlink>
      <w:r w:rsidRPr="00850363">
        <w:t>)</w:t>
      </w:r>
    </w:p>
    <w:p w14:paraId="40810332" w14:textId="4AE5E008" w:rsidR="00850363" w:rsidRPr="00850363" w:rsidRDefault="00850363" w:rsidP="00850363">
      <w:r w:rsidRPr="00850363">
        <w:t xml:space="preserve">Формально и практично это можно объяснить так. </w:t>
      </w:r>
      <w:r>
        <w:t xml:space="preserve">Пусть мы рассматриваем два периода </w:t>
      </w:r>
      <w:r>
        <w:rPr>
          <w:lang w:val="en-US"/>
        </w:rPr>
        <w:t>t</w:t>
      </w:r>
      <w:r w:rsidRPr="00850363">
        <w:t xml:space="preserve"> </w:t>
      </w:r>
      <w:r>
        <w:t xml:space="preserve">и </w:t>
      </w:r>
      <w:r>
        <w:rPr>
          <w:lang w:val="en-US"/>
        </w:rPr>
        <w:t>t</w:t>
      </w:r>
      <w:r w:rsidRPr="00850363">
        <w:t>-1</w:t>
      </w:r>
      <w:r>
        <w:t xml:space="preserve">. Тогда канал становиться устойчивым или усиливается, если он в периоде </w:t>
      </w:r>
      <w:r>
        <w:rPr>
          <w:lang w:val="en-US"/>
        </w:rPr>
        <w:t>t</w:t>
      </w:r>
      <w:r w:rsidRPr="00850363">
        <w:t xml:space="preserve">-1 </w:t>
      </w:r>
      <w:r>
        <w:t xml:space="preserve">не был в множестве оптимального портфеля факторов, а в периоде </w:t>
      </w:r>
      <w:r>
        <w:rPr>
          <w:lang w:val="en-US"/>
        </w:rPr>
        <w:t>t</w:t>
      </w:r>
      <w:r w:rsidRPr="00850363">
        <w:t xml:space="preserve"> </w:t>
      </w:r>
      <w:r>
        <w:t xml:space="preserve">появился. </w:t>
      </w:r>
      <w:r w:rsidRPr="00850363">
        <w:t xml:space="preserve">Если в дальнейшей работе становится более устойчивым </w:t>
      </w:r>
      <w:r>
        <w:rPr>
          <w:b/>
          <w:bCs/>
        </w:rPr>
        <w:t>фактор</w:t>
      </w:r>
      <w:r w:rsidRPr="00850363">
        <w:rPr>
          <w:b/>
          <w:bCs/>
        </w:rPr>
        <w:t xml:space="preserve"> реальных доходов</w:t>
      </w:r>
      <w:r w:rsidRPr="00850363">
        <w:t>, то это означает не “рост” или “падение” потребления, а то, что при анализе потребительского решения ключевыми становятся переменные трудового дохода и реального сектора — прежде всего рост реальной заработной платы, промышленная динамика и розничная активность</w:t>
      </w:r>
      <w:r>
        <w:t xml:space="preserve">. </w:t>
      </w:r>
      <w:r w:rsidRPr="00850363">
        <w:t xml:space="preserve">Для управления это означает, что при оценке режима спроса следует прежде всего отслеживать состояние доходной базы домохозяйств, потому что именно она остаётся самостоятельным детерминантом в модели. Если же усиливается </w:t>
      </w:r>
      <w:r w:rsidRPr="00850363">
        <w:rPr>
          <w:b/>
          <w:bCs/>
        </w:rPr>
        <w:t>канал неопределённости</w:t>
      </w:r>
      <w:r w:rsidRPr="00850363">
        <w:t xml:space="preserve">, то в центре внимания оказываются VIX, волатильность нефти, волатильность валютного курса и потребительское доверие; тогда домохозяйства считывают прежде всего не уровень текущих цен, а степень предсказуемости будущей среды, а для бизнеса это означает необходимость более осторожно выстраивать планы запасов, закупок, кредитных лимитов и ликвидности. Такой вывод согласуется с материалами ECB о том, что неопределённость напрямую связана с поведением по потреблению и сбережениям, а также с тем, что потребительская уверенность используется аналитиками и политиками как своевременный индикатор состояния экономики. </w:t>
      </w:r>
      <w:r w:rsidRPr="00850363">
        <w:t>(</w:t>
      </w:r>
      <w:hyperlink r:id="rId8" w:history="1">
        <w:r w:rsidRPr="00BB6895">
          <w:rPr>
            <w:rStyle w:val="ac"/>
            <w:lang w:val="en-US"/>
          </w:rPr>
          <w:t>https</w:t>
        </w:r>
        <w:r w:rsidRPr="00BB6895">
          <w:rPr>
            <w:rStyle w:val="ac"/>
          </w:rPr>
          <w:t>://</w:t>
        </w:r>
        <w:r w:rsidRPr="00BB6895">
          <w:rPr>
            <w:rStyle w:val="ac"/>
            <w:lang w:val="en-US"/>
          </w:rPr>
          <w:t>www</w:t>
        </w:r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ecb</w:t>
        </w:r>
        <w:proofErr w:type="spellEnd"/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europa</w:t>
        </w:r>
        <w:proofErr w:type="spellEnd"/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eu</w:t>
        </w:r>
        <w:proofErr w:type="spellEnd"/>
        <w:r w:rsidRPr="00BB6895">
          <w:rPr>
            <w:rStyle w:val="ac"/>
          </w:rPr>
          <w:t>/</w:t>
        </w:r>
        <w:r w:rsidRPr="00BB6895">
          <w:rPr>
            <w:rStyle w:val="ac"/>
            <w:lang w:val="en-US"/>
          </w:rPr>
          <w:t>press</w:t>
        </w:r>
        <w:r w:rsidRPr="00BB6895">
          <w:rPr>
            <w:rStyle w:val="ac"/>
          </w:rPr>
          <w:t>/</w:t>
        </w:r>
        <w:r w:rsidRPr="00BB6895">
          <w:rPr>
            <w:rStyle w:val="ac"/>
            <w:lang w:val="en-US"/>
          </w:rPr>
          <w:t>economic</w:t>
        </w:r>
        <w:r w:rsidRPr="00BB6895">
          <w:rPr>
            <w:rStyle w:val="ac"/>
          </w:rPr>
          <w:t>-</w:t>
        </w:r>
        <w:r w:rsidRPr="00BB6895">
          <w:rPr>
            <w:rStyle w:val="ac"/>
            <w:lang w:val="en-US"/>
          </w:rPr>
          <w:t>bulletin</w:t>
        </w:r>
        <w:r w:rsidRPr="00BB6895">
          <w:rPr>
            <w:rStyle w:val="ac"/>
          </w:rPr>
          <w:t>/</w:t>
        </w:r>
        <w:r w:rsidRPr="00BB6895">
          <w:rPr>
            <w:rStyle w:val="ac"/>
            <w:lang w:val="en-US"/>
          </w:rPr>
          <w:t>focus</w:t>
        </w:r>
        <w:r w:rsidRPr="00BB6895">
          <w:rPr>
            <w:rStyle w:val="ac"/>
          </w:rPr>
          <w:t>/2026/</w:t>
        </w:r>
        <w:r w:rsidRPr="00BB6895">
          <w:rPr>
            <w:rStyle w:val="ac"/>
            <w:lang w:val="en-US"/>
          </w:rPr>
          <w:t>html</w:t>
        </w:r>
        <w:r w:rsidRPr="00BB6895">
          <w:rPr>
            <w:rStyle w:val="ac"/>
          </w:rPr>
          <w:t>/</w:t>
        </w:r>
        <w:proofErr w:type="spellStart"/>
        <w:r w:rsidRPr="00BB6895">
          <w:rPr>
            <w:rStyle w:val="ac"/>
            <w:lang w:val="en-US"/>
          </w:rPr>
          <w:t>ecb</w:t>
        </w:r>
        <w:proofErr w:type="spellEnd"/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ebbox</w:t>
        </w:r>
        <w:proofErr w:type="spellEnd"/>
        <w:r w:rsidRPr="00BB6895">
          <w:rPr>
            <w:rStyle w:val="ac"/>
          </w:rPr>
          <w:t>202601_03~</w:t>
        </w:r>
        <w:r w:rsidRPr="00BB6895">
          <w:rPr>
            <w:rStyle w:val="ac"/>
            <w:lang w:val="en-US"/>
          </w:rPr>
          <w:t>e</w:t>
        </w:r>
        <w:r w:rsidRPr="00BB6895">
          <w:rPr>
            <w:rStyle w:val="ac"/>
          </w:rPr>
          <w:t>3719</w:t>
        </w:r>
        <w:r w:rsidRPr="00BB6895">
          <w:rPr>
            <w:rStyle w:val="ac"/>
            <w:lang w:val="en-US"/>
          </w:rPr>
          <w:t>ab</w:t>
        </w:r>
        <w:r w:rsidRPr="00BB6895">
          <w:rPr>
            <w:rStyle w:val="ac"/>
          </w:rPr>
          <w:t>7</w:t>
        </w:r>
        <w:r w:rsidRPr="00BB6895">
          <w:rPr>
            <w:rStyle w:val="ac"/>
            <w:lang w:val="en-US"/>
          </w:rPr>
          <w:t>bf</w:t>
        </w:r>
        <w:r w:rsidRPr="00BB6895">
          <w:rPr>
            <w:rStyle w:val="ac"/>
          </w:rPr>
          <w:t>.</w:t>
        </w:r>
        <w:proofErr w:type="spellStart"/>
        <w:r w:rsidRPr="00BB6895">
          <w:rPr>
            <w:rStyle w:val="ac"/>
            <w:lang w:val="en-US"/>
          </w:rPr>
          <w:t>bg</w:t>
        </w:r>
        <w:proofErr w:type="spellEnd"/>
        <w:r w:rsidRPr="00BB6895">
          <w:rPr>
            <w:rStyle w:val="ac"/>
          </w:rPr>
          <w:t>.</w:t>
        </w:r>
        <w:r w:rsidRPr="00BB6895">
          <w:rPr>
            <w:rStyle w:val="ac"/>
            <w:lang w:val="en-US"/>
          </w:rPr>
          <w:t>html</w:t>
        </w:r>
      </w:hyperlink>
      <w:r w:rsidRPr="00850363">
        <w:t>)</w:t>
      </w:r>
    </w:p>
    <w:p w14:paraId="30646F3B" w14:textId="77777777" w:rsidR="00850363" w:rsidRPr="00850363" w:rsidRDefault="00850363" w:rsidP="00850363">
      <w:r w:rsidRPr="00850363">
        <w:t xml:space="preserve">Для менеджмента практическая ценность заключается не в точечном прогнозе потребления, а в том, что портфель даёт </w:t>
      </w:r>
      <w:r w:rsidRPr="00850363">
        <w:rPr>
          <w:b/>
          <w:bCs/>
        </w:rPr>
        <w:t>рабочую карту сигналов</w:t>
      </w:r>
      <w:r w:rsidRPr="00850363">
        <w:t xml:space="preserve">, на которые следует опираться при принятии решений. Например, банк может использовать этот набор как структуру для оценки кредитного риска и планирования спроса на розничные продукты: если в данных остаются релевантными ключевая ставка, спрэды и доверие, то внимание должно быть сосредоточено на стоимости фондирования, чувствительности клиентов к процентным условиям и вероятности сдвига в сберегательное поведение. Ритейл-компания может использовать тот же набор как основу сценарного планирования: если усиливается канал реальных доходов, приоритетом становятся ассортимент, ценовая политика и запасы; если усиливается канал неопределённости, приоритетом становятся ликвидность, гибкость закупок и консервативные планы продаж. Это не прогноз в точке, а </w:t>
      </w:r>
      <w:r w:rsidRPr="00850363">
        <w:rPr>
          <w:b/>
          <w:bCs/>
        </w:rPr>
        <w:t xml:space="preserve">структурно обоснованная </w:t>
      </w:r>
      <w:r w:rsidRPr="00850363">
        <w:rPr>
          <w:b/>
          <w:bCs/>
        </w:rPr>
        <w:lastRenderedPageBreak/>
        <w:t>схема интерпретации спроса</w:t>
      </w:r>
      <w:r w:rsidRPr="00850363">
        <w:t xml:space="preserve">. ECB также отмечает, что изменения ожиданий по экономической ситуации и вероятности крупных покупок являются частью того набора сигналов, который помогает оценивать потребительское поведение на горизонте ближайших месяцев. </w:t>
      </w:r>
    </w:p>
    <w:p w14:paraId="180BEAA6" w14:textId="77777777" w:rsidR="00850363" w:rsidRPr="00850363" w:rsidRDefault="00850363" w:rsidP="00850363">
      <w:r w:rsidRPr="00850363">
        <w:t xml:space="preserve">В российском контексте этот вывод особенно значим. Банк России прямо связывает ключевую ставку с формированием процентных условий в экономике и отдельно подчёркивает роль инфляционных ожиданий и коммуникации в передаче политики. Поэтому ваш результат можно использовать как </w:t>
      </w:r>
      <w:r w:rsidRPr="00850363">
        <w:rPr>
          <w:b/>
          <w:bCs/>
        </w:rPr>
        <w:t>структурно обоснованный индикатор того, насколько ключевая ставка действительно является центральным каналом передачи политики</w:t>
      </w:r>
      <w:r w:rsidRPr="00850363">
        <w:t xml:space="preserve">, и как инструмент для проверки того, какие дополнительные детерминанты потребления остаются самостоятельными в данных, а какие уже дублируют ставочный сигнал. Следовательно, практический итог работы состоит в том, чтобы дать регулятору и бизнесу компактный и интерпретируемый набор факторов, по которому можно судить и о механизме денежно-кредитной трансмиссии, и о том, какие экономические условия в текущий момент являются действительно самостоятельными детерминантами потребления. </w:t>
      </w:r>
    </w:p>
    <w:p w14:paraId="45F7004C" w14:textId="77777777" w:rsidR="00DB027F" w:rsidRDefault="00DB027F"/>
    <w:sectPr w:rsidR="00DB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C0"/>
    <w:rsid w:val="00521908"/>
    <w:rsid w:val="00850363"/>
    <w:rsid w:val="00BD5AEB"/>
    <w:rsid w:val="00C756E2"/>
    <w:rsid w:val="00D254C0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7560D"/>
  <w15:chartTrackingRefBased/>
  <w15:docId w15:val="{04B9EC0D-EB0E-4E66-AF02-97C3B7F7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4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4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4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4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4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4C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036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0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b.europa.eu/press/economic-bulletin/focus/2026/html/ecb.ebbox202601_03~e3719ab7bf.bg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cb.europa.eu/press/economic-bulletin/focus/2025/html/ecb.ebbox202505_01~304c94491d.p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br.ru/eng/about_br/publ/ondkp/on_2025_2027/" TargetMode="External"/><Relationship Id="rId5" Type="http://schemas.openxmlformats.org/officeDocument/2006/relationships/hyperlink" Target="https://www.cbr.ru/eng/about_br/publ/ondkp/on_2025_2027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br.ru/eng/dkp/w_inf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2</cp:revision>
  <dcterms:created xsi:type="dcterms:W3CDTF">2026-03-30T09:37:00Z</dcterms:created>
  <dcterms:modified xsi:type="dcterms:W3CDTF">2026-03-30T09:54:00Z</dcterms:modified>
</cp:coreProperties>
</file>