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left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4033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51"/>
        <w:gridCol w:w="2551"/>
        <w:gridCol w:w="2551"/>
        <w:gridCol w:w="2551"/>
      </w:tblGrid>
      <w:tr>
        <w:trPr/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b/>
                <w:bCs/>
                <w:i/>
                <w:i/>
                <w:iCs/>
                <w:color w:val="000000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color w:val="000000"/>
                <w:sz w:val="26"/>
                <w:szCs w:val="26"/>
                <w:shd w:fill="auto" w:val="clear"/>
              </w:rPr>
              <w:t>Dimensión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b/>
                <w:bCs/>
                <w:i/>
                <w:i/>
                <w:iCs/>
                <w:color w:val="000000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color w:val="000000"/>
                <w:sz w:val="26"/>
                <w:szCs w:val="26"/>
                <w:shd w:fill="auto" w:val="clear"/>
              </w:rPr>
              <w:t>Acción propuesta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b/>
                <w:bCs/>
                <w:i/>
                <w:i/>
                <w:iCs/>
                <w:color w:val="000000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color w:val="000000"/>
                <w:sz w:val="26"/>
                <w:szCs w:val="26"/>
                <w:shd w:fill="auto" w:val="clear"/>
              </w:rPr>
              <w:t>KPI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b/>
                <w:bCs/>
                <w:i/>
                <w:i/>
                <w:iCs/>
                <w:color w:val="000000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color w:val="000000"/>
                <w:sz w:val="26"/>
                <w:szCs w:val="26"/>
                <w:shd w:fill="auto" w:val="clear"/>
              </w:rPr>
              <w:t>Cómo se mide</w:t>
            </w:r>
          </w:p>
        </w:tc>
      </w:tr>
      <w:tr>
        <w:trPr/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b/>
                <w:bCs/>
                <w:i/>
                <w:i/>
                <w:iCs/>
                <w:color w:val="000000"/>
                <w:sz w:val="26"/>
                <w:szCs w:val="26"/>
                <w:u w:val="none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color w:val="000000"/>
                <w:sz w:val="26"/>
                <w:szCs w:val="26"/>
                <w:u w:val="none"/>
              </w:rPr>
              <w:t>Medio ambiental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40" w:before="0" w:after="26"/>
              <w:jc w:val="center"/>
              <w:rPr>
                <w:rFonts w:ascii="Liberation Sans" w:hAnsi="Liberation Sans"/>
                <w:color w:val="000000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</w:rPr>
              <w:t>Electrificando la flota de reparto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</w:pPr>
            <w:r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  <w:t xml:space="preserve">€ </w:t>
            </w:r>
            <w:r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  <w:t>/ kWh</w:t>
            </w:r>
          </w:p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</w:pPr>
            <w:r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  <w:t>vs</w:t>
            </w:r>
          </w:p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</w:pPr>
            <w:r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  <w:t xml:space="preserve">€ </w:t>
            </w:r>
            <w:r>
              <w:rPr>
                <w:rFonts w:ascii="Liberation Sans" w:hAnsi="Liberation Sans"/>
                <w:color w:val="000000"/>
                <w:sz w:val="26"/>
                <w:szCs w:val="26"/>
                <w:lang w:val="es-ES"/>
              </w:rPr>
              <w:t>/ L (gas)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both"/>
              <w:rPr>
                <w:rFonts w:ascii="Liberation Sans" w:hAnsi="Liberation Sans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Comparando el precio medio de llenar el depósito de un coche electrónico con uno convencional, obtenemos un resultado aproximado de 12€ frente a 20€ a favor del coche electrónico.</w:t>
            </w:r>
          </w:p>
        </w:tc>
      </w:tr>
      <w:tr>
        <w:trPr/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b/>
                <w:bCs/>
                <w:i/>
                <w:i/>
                <w:iCs/>
                <w:color w:val="000000"/>
                <w:sz w:val="26"/>
                <w:szCs w:val="26"/>
                <w:u w:val="none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color w:val="000000"/>
                <w:sz w:val="26"/>
                <w:szCs w:val="26"/>
                <w:u w:val="none"/>
              </w:rPr>
              <w:t>Social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40" w:before="0" w:after="26"/>
              <w:jc w:val="center"/>
              <w:rPr>
                <w:rFonts w:ascii="Liberation Sans" w:hAnsi="Liberation Sans"/>
                <w:color w:val="000000"/>
                <w:sz w:val="24"/>
                <w:szCs w:val="24"/>
              </w:rPr>
            </w:pPr>
            <w:r>
              <w:rPr>
                <w:rFonts w:ascii="Liberation Sans" w:hAnsi="Liberation Sans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</w:t>
            </w:r>
            <w:r>
              <w:rPr>
                <w:rFonts w:ascii="Liberation Sans" w:hAnsi="Liberation Sans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yuda a las comunidades afectadas por las catastróficas</w:t>
            </w:r>
            <w:r>
              <w:rPr>
                <w:rFonts w:ascii="Liberation Sans" w:hAnsi="Liberation Sans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color w:val="000000"/>
                <w:sz w:val="26"/>
                <w:szCs w:val="26"/>
              </w:rPr>
            </w:pPr>
            <w:r>
              <w:rPr>
                <w:rFonts w:ascii="Liberation Sans" w:hAnsi="Liberation Sans"/>
                <w:color w:val="000000"/>
                <w:sz w:val="26"/>
                <w:szCs w:val="26"/>
              </w:rPr>
              <w:t>Donación por persona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El sistema numérico se puede representar como el coste promedio de la asistencia prestada por persona en un incidente.</w:t>
            </w:r>
          </w:p>
        </w:tc>
      </w:tr>
      <w:tr>
        <w:trPr>
          <w:trHeight w:val="583" w:hRule="atLeast"/>
        </w:trPr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b/>
                <w:bCs/>
                <w:i/>
                <w:i/>
                <w:iCs/>
                <w:color w:val="000000"/>
                <w:sz w:val="26"/>
                <w:szCs w:val="26"/>
                <w:u w:val="none"/>
              </w:rPr>
            </w:pPr>
            <w:r>
              <w:rPr>
                <w:rFonts w:ascii="Liberation Sans" w:hAnsi="Liberation Sans"/>
                <w:b/>
                <w:bCs/>
                <w:i/>
                <w:iCs/>
                <w:color w:val="000000"/>
                <w:sz w:val="26"/>
                <w:szCs w:val="26"/>
                <w:u w:val="none"/>
              </w:rPr>
              <w:t>Gobierno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BodyText"/>
              <w:spacing w:lineRule="auto" w:line="240" w:before="0" w:after="26"/>
              <w:jc w:val="center"/>
              <w:rPr>
                <w:rFonts w:ascii="Liberation Sans" w:hAnsi="Liberation Sans"/>
                <w:color w:val="000000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</w:rPr>
              <w:t>C</w:t>
            </w:r>
            <w:r>
              <w:rPr>
                <w:rFonts w:ascii="Liberation Sans" w:hAnsi="Liberation Sans"/>
                <w:color w:val="000000"/>
                <w:sz w:val="24"/>
                <w:szCs w:val="24"/>
              </w:rPr>
              <w:t>ompromiso de mejora de las competencias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color w:val="000000"/>
                <w:sz w:val="26"/>
                <w:szCs w:val="26"/>
              </w:rPr>
            </w:pPr>
            <w:r>
              <w:rPr>
                <w:rFonts w:ascii="Liberation Sans" w:hAnsi="Liberation Sans"/>
                <w:color w:val="000000"/>
                <w:sz w:val="26"/>
                <w:szCs w:val="26"/>
              </w:rPr>
              <w:t>%  de personas respecto del total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Contenidodelatabla"/>
              <w:spacing w:before="0" w:after="0"/>
              <w:jc w:val="center"/>
              <w:rPr>
                <w:rFonts w:ascii="Liberation Sans" w:hAnsi="Liberation Sans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La eficacia de un programa se puede calcular en función del porcentaje de personas que encuentran empleo después de la formación.</w:t>
            </w:r>
          </w:p>
        </w:tc>
      </w:tr>
    </w:tbl>
    <w:p>
      <w:pPr>
        <w:pStyle w:val="Normal"/>
        <w:spacing w:before="240" w:after="0"/>
        <w:ind w:hanging="0" w:left="0"/>
        <w:jc w:val="center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SASP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SASP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1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LibreOffice/25.2.7.2$Windows_X86_64 LibreOffice_project/5cbfd1ab6520636bb5f7b99185aa69bd7456825d</Application>
  <AppVersion>15.0000</AppVersion>
  <Pages>1</Pages>
  <Words>138</Words>
  <Characters>662</Characters>
  <CharactersWithSpaces>800</CharactersWithSpaces>
  <Paragraphs>20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2026-02-17T10:09:46Z</dcterms:modified>
  <cp:revision>5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