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2A78D6"/>
          <w:spacing w:val="40"/>
          <w:sz w:val="24"/>
          <w:szCs w:val="24"/>
        </w:rPr>
        <w:t xml:space="preserve">DOCUMENTATION TECHNIQUE</w:t>
      </w:r>
    </w:p>
    <w:p>
      <w:pPr>
        <w:spacing w:after="200"/>
      </w:pPr>
      <w:r>
        <w:rPr>
          <w:b/>
          <w:bCs/>
          <w:color w:val="184F95"/>
          <w:sz w:val="64"/>
          <w:szCs w:val="64"/>
        </w:rPr>
        <w:t xml:space="preserve">Documentation technique</w:t>
      </w:r>
    </w:p>
    <w:p>
      <w:pPr>
        <w:pBdr>
          <w:bottom w:val="single" w:color="2A78D6" w:sz="24" w:space="14"/>
        </w:pBdr>
        <w:spacing w:after="600"/>
      </w:pPr>
      <w:r>
        <w:rPr>
          <w:color w:val="52514E"/>
          <w:sz w:val="30"/>
          <w:szCs w:val="30"/>
        </w:rPr>
        <w:t xml:space="preserve">Fuel Price India : du fichier brut au modèle de prédiction du prix de l'essence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6803"/>
      </w:tblGrid>
      <w:tr>
        <w:trPr>
          <w:cantSplit/>
          <w:tblHeader w:val="false"/>
        </w:trPr>
        <w:tc>
          <w:tcPr>
            <w:tcW w:type="dxa" w:w="2267"/>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Projet</w:t>
            </w:r>
          </w:p>
        </w:tc>
        <w:tc>
          <w:tcPr>
            <w:tcW w:type="dxa" w:w="680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Fuel Price India</w:t>
            </w:r>
          </w:p>
        </w:tc>
      </w:tr>
      <w:tr>
        <w:trPr>
          <w:cantSplit/>
          <w:tblHeader w:val="false"/>
        </w:trPr>
        <w:tc>
          <w:tcPr>
            <w:tcW w:type="dxa" w:w="2267"/>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Auteur</w:t>
            </w:r>
          </w:p>
        </w:tc>
        <w:tc>
          <w:tcPr>
            <w:tcW w:type="dxa" w:w="680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Louis Denis</w:t>
            </w:r>
          </w:p>
        </w:tc>
      </w:tr>
      <w:tr>
        <w:trPr>
          <w:cantSplit/>
          <w:tblHeader w:val="false"/>
        </w:trPr>
        <w:tc>
          <w:tcPr>
            <w:tcW w:type="dxa" w:w="2267"/>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Version</w:t>
            </w:r>
          </w:p>
        </w:tc>
        <w:tc>
          <w:tcPr>
            <w:tcW w:type="dxa" w:w="680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1.0</w:t>
            </w:r>
          </w:p>
        </w:tc>
      </w:tr>
      <w:tr>
        <w:trPr>
          <w:cantSplit/>
          <w:tblHeader w:val="false"/>
        </w:trPr>
        <w:tc>
          <w:tcPr>
            <w:tcW w:type="dxa" w:w="2267"/>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Date</w:t>
            </w:r>
          </w:p>
        </w:tc>
        <w:tc>
          <w:tcPr>
            <w:tcW w:type="dxa" w:w="680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02/10/2026</w:t>
            </w:r>
          </w:p>
        </w:tc>
      </w:tr>
      <w:tr>
        <w:trPr>
          <w:cantSplit/>
          <w:tblHeader w:val="false"/>
        </w:trPr>
        <w:tc>
          <w:tcPr>
            <w:tcW w:type="dxa" w:w="2267"/>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val="false"/>
              <w:spacing w:after="0" w:line="252" w:lineRule="auto"/>
              <w:jc w:val="left"/>
            </w:pPr>
            <w:r>
              <w:rPr>
                <w:b/>
                <w:bCs/>
                <w:sz w:val="20"/>
                <w:szCs w:val="20"/>
              </w:rPr>
              <w:t xml:space="preserve">Statut</w:t>
            </w:r>
          </w:p>
        </w:tc>
        <w:tc>
          <w:tcPr>
            <w:tcW w:type="dxa" w:w="680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Version validée</w:t>
            </w:r>
          </w:p>
        </w:tc>
      </w:tr>
    </w:tbl>
    <w:p>
      <w:r>
        <w:br w:type="page"/>
      </w:r>
    </w:p>
    <w:p>
      <w:pPr>
        <w:pStyle w:val="TitreHorsSommaire"/>
      </w:pPr>
      <w:r>
        <w:t xml:space="preserve">Historique des versions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62"/>
        <w:gridCol w:w="1511"/>
        <w:gridCol w:w="1744"/>
        <w:gridCol w:w="4653"/>
      </w:tblGrid>
      <w:tr>
        <w:trPr>
          <w:cantSplit/>
          <w:tblHeader/>
        </w:trPr>
        <w:tc>
          <w:tcPr>
            <w:tcW w:type="dxa" w:w="1162"/>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Version</w:t>
            </w:r>
          </w:p>
        </w:tc>
        <w:tc>
          <w:tcPr>
            <w:tcW w:type="dxa" w:w="1511"/>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Date</w:t>
            </w:r>
          </w:p>
        </w:tc>
        <w:tc>
          <w:tcPr>
            <w:tcW w:type="dxa" w:w="1744"/>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Auteur</w:t>
            </w:r>
          </w:p>
        </w:tc>
        <w:tc>
          <w:tcPr>
            <w:tcW w:type="dxa" w:w="4653"/>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Modifications</w:t>
            </w:r>
          </w:p>
        </w:tc>
      </w:tr>
      <w:tr>
        <w:trPr>
          <w:cantSplit/>
          <w:tblHeader w:val="false"/>
        </w:trPr>
        <w:tc>
          <w:tcPr>
            <w:tcW w:type="dxa" w:w="116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1.0</w:t>
            </w:r>
          </w:p>
        </w:tc>
        <w:tc>
          <w:tcPr>
            <w:tcW w:type="dxa" w:w="1511"/>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02/10/2026</w:t>
            </w:r>
          </w:p>
        </w:tc>
        <w:tc>
          <w:tcPr>
            <w:tcW w:type="dxa" w:w="174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Louis Denis</w:t>
            </w:r>
          </w:p>
        </w:tc>
        <w:tc>
          <w:tcPr>
            <w:tcW w:type="dxa" w:w="465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Première version complète : données, modèles, scripts</w:t>
            </w:r>
          </w:p>
        </w:tc>
      </w:tr>
    </w:tbl>
    <w:p>
      <w:pPr>
        <w:spacing w:after="360"/>
      </w:pPr>
    </w:p>
    <w:p>
      <w:pPr>
        <w:pStyle w:val="TitreHorsSommaire"/>
      </w:pPr>
      <w:r>
        <w:t xml:space="preserve">Sommaire</w:t>
      </w:r>
    </w:p>
    <w:sdt>
      <w:sdtPr>
        <w:alias w:val="Sommaire"/>
      </w:sdtPr>
      <w:sdtContent>
        <w:p>
          <w:pPr>
            <w:pStyle w:val="TOC1"/>
            <w:tabs>
              <w:tab w:val="right" w:leader="dot" w:pos="9070"/>
            </w:tabs>
          </w:pPr>
          <w:r>
            <w:fldChar w:fldCharType="begin" w:dirty="true"/>
            <w:instrText xml:space="preserve">TOC \h \o "1-3"</w:instrText>
            <w:fldChar w:fldCharType="separate"/>
          </w:r>
          <w:r>
            <w:t xml:space="preserve">Partie 1 – Introduction et contexte</w:t>
          </w:r>
          <w:r>
            <w:tab/>
          </w:r>
          <w:r>
            <w:t>3</w:t>
          </w:r>
        </w:p>
        <w:p>
          <w:pPr>
            <w:pStyle w:val="TOC2"/>
            <w:tabs>
              <w:tab w:val="right" w:leader="dot" w:pos="9070"/>
            </w:tabs>
          </w:pPr>
          <w:r>
            <w:t xml:space="preserve">1.1 Présentation du projet</w:t>
          </w:r>
          <w:r>
            <w:tab/>
          </w:r>
          <w:r>
            <w:t>3</w:t>
          </w:r>
        </w:p>
        <w:p>
          <w:pPr>
            <w:pStyle w:val="TOC2"/>
            <w:tabs>
              <w:tab w:val="right" w:leader="dot" w:pos="9070"/>
            </w:tabs>
          </w:pPr>
          <w:r>
            <w:t xml:space="preserve">1.2 Objectifs</w:t>
          </w:r>
          <w:r>
            <w:tab/>
          </w:r>
          <w:r>
            <w:t>3</w:t>
          </w:r>
        </w:p>
        <w:p>
          <w:pPr>
            <w:pStyle w:val="TOC2"/>
            <w:tabs>
              <w:tab w:val="right" w:leader="dot" w:pos="9070"/>
            </w:tabs>
          </w:pPr>
          <w:r>
            <w:t xml:space="preserve">1.3 Public visé et périmètre</w:t>
          </w:r>
          <w:r>
            <w:tab/>
          </w:r>
          <w:r>
            <w:t>3</w:t>
          </w:r>
        </w:p>
        <w:p>
          <w:pPr>
            <w:pStyle w:val="TOC1"/>
            <w:tabs>
              <w:tab w:val="right" w:leader="dot" w:pos="9070"/>
            </w:tabs>
          </w:pPr>
          <w:r>
            <w:t xml:space="preserve">Partie 2 – Architecture</w:t>
          </w:r>
          <w:r>
            <w:tab/>
          </w:r>
          <w:r>
            <w:t>4</w:t>
          </w:r>
        </w:p>
        <w:p>
          <w:pPr>
            <w:pStyle w:val="TOC2"/>
            <w:tabs>
              <w:tab w:val="right" w:leader="dot" w:pos="9070"/>
            </w:tabs>
          </w:pPr>
          <w:r>
            <w:t xml:space="preserve">2.1 Diagramme de flux des données aux modèles</w:t>
          </w:r>
          <w:r>
            <w:tab/>
          </w:r>
          <w:r>
            <w:t>4</w:t>
          </w:r>
        </w:p>
        <w:p>
          <w:pPr>
            <w:pStyle w:val="TOC2"/>
            <w:tabs>
              <w:tab w:val="right" w:leader="dot" w:pos="9070"/>
            </w:tabs>
          </w:pPr>
          <w:r>
            <w:t xml:space="preserve">2.2 Organisation du dépôt</w:t>
          </w:r>
          <w:r>
            <w:tab/>
          </w:r>
          <w:r>
            <w:t>5</w:t>
          </w:r>
        </w:p>
        <w:p>
          <w:pPr>
            <w:pStyle w:val="TOC2"/>
            <w:tabs>
              <w:tab w:val="right" w:leader="dot" w:pos="9070"/>
            </w:tabs>
          </w:pPr>
          <w:r>
            <w:t xml:space="preserve">2.3 Choix techniques</w:t>
          </w:r>
          <w:r>
            <w:tab/>
          </w:r>
          <w:r>
            <w:t>5</w:t>
          </w:r>
        </w:p>
        <w:p>
          <w:pPr>
            <w:pStyle w:val="TOC1"/>
            <w:tabs>
              <w:tab w:val="right" w:leader="dot" w:pos="9070"/>
            </w:tabs>
          </w:pPr>
          <w:r>
            <w:t xml:space="preserve">Partie 3 – Données</w:t>
          </w:r>
          <w:r>
            <w:tab/>
          </w:r>
          <w:r>
            <w:t>6</w:t>
          </w:r>
        </w:p>
        <w:p>
          <w:pPr>
            <w:pStyle w:val="TOC2"/>
            <w:tabs>
              <w:tab w:val="right" w:leader="dot" w:pos="9070"/>
            </w:tabs>
          </w:pPr>
          <w:r>
            <w:t xml:space="preserve">3.1 Source et datacard</w:t>
          </w:r>
          <w:r>
            <w:tab/>
          </w:r>
          <w:r>
            <w:t>6</w:t>
          </w:r>
        </w:p>
        <w:p>
          <w:pPr>
            <w:pStyle w:val="TOC2"/>
            <w:tabs>
              <w:tab w:val="right" w:leader="dot" w:pos="9070"/>
            </w:tabs>
          </w:pPr>
          <w:r>
            <w:t xml:space="preserve">3.2 Résumé global des données</w:t>
          </w:r>
          <w:r>
            <w:tab/>
          </w:r>
          <w:r>
            <w:t>6</w:t>
          </w:r>
        </w:p>
        <w:p>
          <w:pPr>
            <w:pStyle w:val="TOC2"/>
            <w:tabs>
              <w:tab w:val="right" w:leader="dot" w:pos="9070"/>
            </w:tabs>
          </w:pPr>
          <w:r>
            <w:t xml:space="preserve">3.3 Transformation des données</w:t>
          </w:r>
          <w:r>
            <w:tab/>
          </w:r>
          <w:r>
            <w:t>8</w:t>
          </w:r>
        </w:p>
        <w:p>
          <w:pPr>
            <w:pStyle w:val="TOC2"/>
            <w:tabs>
              <w:tab w:val="right" w:leader="dot" w:pos="9070"/>
            </w:tabs>
          </w:pPr>
          <w:r>
            <w:t xml:space="preserve">3.4 Qualité et limites</w:t>
          </w:r>
          <w:r>
            <w:tab/>
          </w:r>
          <w:r>
            <w:t>8</w:t>
          </w:r>
        </w:p>
        <w:p>
          <w:pPr>
            <w:pStyle w:val="TOC2"/>
            <w:tabs>
              <w:tab w:val="right" w:leader="dot" w:pos="9070"/>
            </w:tabs>
          </w:pPr>
          <w:r>
            <w:t xml:space="preserve">3.5 Analyse exploratoire : ce qui guide la modélisation</w:t>
          </w:r>
          <w:r>
            <w:tab/>
          </w:r>
          <w:r>
            <w:t>8</w:t>
          </w:r>
        </w:p>
        <w:p>
          <w:pPr>
            <w:pStyle w:val="TOC1"/>
            <w:tabs>
              <w:tab w:val="right" w:leader="dot" w:pos="9070"/>
            </w:tabs>
          </w:pPr>
          <w:r>
            <w:t xml:space="preserve">Partie 4 – Modèle</w:t>
          </w:r>
          <w:r>
            <w:tab/>
          </w:r>
          <w:r>
            <w:t>10</w:t>
          </w:r>
        </w:p>
        <w:p>
          <w:pPr>
            <w:pStyle w:val="TOC2"/>
            <w:tabs>
              <w:tab w:val="right" w:leader="dot" w:pos="9070"/>
            </w:tabs>
          </w:pPr>
          <w:r>
            <w:t xml:space="preserve">4.1 Problème et protocole d'évaluation</w:t>
          </w:r>
          <w:r>
            <w:tab/>
          </w:r>
          <w:r>
            <w:t>10</w:t>
          </w:r>
        </w:p>
        <w:p>
          <w:pPr>
            <w:pStyle w:val="TOC2"/>
            <w:tabs>
              <w:tab w:val="right" w:leader="dot" w:pos="9070"/>
            </w:tabs>
          </w:pPr>
          <w:r>
            <w:t xml:space="preserve">4.2 Modèles comparés</w:t>
          </w:r>
          <w:r>
            <w:tab/>
          </w:r>
          <w:r>
            <w:t>10</w:t>
          </w:r>
        </w:p>
        <w:p>
          <w:pPr>
            <w:pStyle w:val="TOC2"/>
            <w:tabs>
              <w:tab w:val="right" w:leader="dot" w:pos="9070"/>
            </w:tabs>
          </w:pPr>
          <w:r>
            <w:t xml:space="preserve">4.3 Meilleur modèle : la régression linéaire</w:t>
          </w:r>
          <w:r>
            <w:tab/>
          </w:r>
          <w:r>
            <w:t>11</w:t>
          </w:r>
        </w:p>
        <w:p>
          <w:pPr>
            <w:pStyle w:val="TOC2"/>
            <w:tabs>
              <w:tab w:val="right" w:leader="dot" w:pos="9070"/>
            </w:tabs>
          </w:pPr>
          <w:r>
            <w:t xml:space="preserve">4.4 Limites du modèle</w:t>
          </w:r>
          <w:r>
            <w:tab/>
          </w:r>
          <w:r>
            <w:t>12</w:t>
          </w:r>
        </w:p>
        <w:p>
          <w:pPr>
            <w:pStyle w:val="TOC2"/>
            <w:tabs>
              <w:tab w:val="right" w:leader="dot" w:pos="9070"/>
            </w:tabs>
          </w:pPr>
          <w:r>
            <w:t xml:space="preserve">4.5 Model cards</w:t>
          </w:r>
          <w:r>
            <w:tab/>
          </w:r>
          <w:r>
            <w:t>12</w:t>
          </w:r>
        </w:p>
        <w:p>
          <w:pPr>
            <w:pStyle w:val="TOC1"/>
            <w:tabs>
              <w:tab w:val="right" w:leader="dot" w:pos="9070"/>
            </w:tabs>
          </w:pPr>
          <w:r>
            <w:t xml:space="preserve">Partie 5 – Présentation des scripts</w:t>
          </w:r>
          <w:r>
            <w:tab/>
          </w:r>
          <w:r>
            <w:t>13</w:t>
          </w:r>
        </w:p>
        <w:p>
          <w:pPr>
            <w:pStyle w:val="TOC2"/>
            <w:tabs>
              <w:tab w:val="right" w:leader="dot" w:pos="9070"/>
            </w:tabs>
          </w:pPr>
          <w:r>
            <w:t xml:space="preserve">5.1 Vue d'ensemble</w:t>
          </w:r>
          <w:r>
            <w:tab/>
          </w:r>
          <w:r>
            <w:t>13</w:t>
          </w:r>
        </w:p>
        <w:p>
          <w:pPr>
            <w:pStyle w:val="TOC2"/>
            <w:tabs>
              <w:tab w:val="right" w:leader="dot" w:pos="9070"/>
            </w:tabs>
          </w:pPr>
          <w:r>
            <w:t xml:space="preserve">5.2 config.py : la configuration partagée</w:t>
          </w:r>
          <w:r>
            <w:tab/>
          </w:r>
          <w:r>
            <w:t>13</w:t>
          </w:r>
        </w:p>
        <w:p>
          <w:pPr>
            <w:pStyle w:val="TOC2"/>
            <w:tabs>
              <w:tab w:val="right" w:leader="dot" w:pos="9070"/>
            </w:tabs>
          </w:pPr>
          <w:r>
            <w:t xml:space="preserve">5.3 01_nettoyage.py : nettoyage des données</w:t>
          </w:r>
          <w:r>
            <w:tab/>
          </w:r>
          <w:r>
            <w:t>13</w:t>
          </w:r>
        </w:p>
        <w:p>
          <w:pPr>
            <w:pStyle w:val="TOC2"/>
            <w:tabs>
              <w:tab w:val="right" w:leader="dot" w:pos="9070"/>
            </w:tabs>
          </w:pPr>
          <w:r>
            <w:t xml:space="preserve">5.4 02_graphes.py : graphes d'analyse</w:t>
          </w:r>
          <w:r>
            <w:tab/>
          </w:r>
          <w:r>
            <w:t>13</w:t>
          </w:r>
        </w:p>
        <w:p>
          <w:pPr>
            <w:pStyle w:val="TOC2"/>
            <w:tabs>
              <w:tab w:val="right" w:leader="dot" w:pos="9070"/>
            </w:tabs>
          </w:pPr>
          <w:r>
            <w:t xml:space="preserve">5.5 03_entrainement.py : entraînement et export des modèles</w:t>
          </w:r>
          <w:r>
            <w:tab/>
          </w:r>
          <w:r>
            <w:t>13</w:t>
          </w:r>
        </w:p>
        <w:p>
          <w:pPr>
            <w:pStyle w:val="TOC2"/>
            <w:tabs>
              <w:tab w:val="right" w:leader="dot" w:pos="9070"/>
            </w:tabs>
          </w:pPr>
          <w:r>
            <w:t xml:space="preserve">5.6 04_generer_doc.py : génération de la documentation</w:t>
          </w:r>
          <w:r>
            <w:tab/>
          </w:r>
          <w:r>
            <w:t>14</w:t>
          </w:r>
        </w:p>
        <w:p>
          <w:pPr>
            <w:pStyle w:val="TOC2"/>
            <w:tabs>
              <w:tab w:val="right" w:leader="dot" w:pos="9070"/>
            </w:tabs>
          </w:pPr>
          <w:r>
            <w:t xml:space="preserve">5.7 run_pipeline.py : tout lancer d'un coup</w:t>
          </w:r>
          <w:r>
            <w:tab/>
          </w:r>
          <w:r>
            <w:t>14</w:t>
          </w:r>
        </w:p>
        <w:p>
          <w:pPr>
            <w:pStyle w:val="TOC1"/>
            <w:tabs>
              <w:tab w:val="right" w:leader="dot" w:pos="9070"/>
            </w:tabs>
          </w:pPr>
          <w:r>
            <w:t xml:space="preserve">Partie 6 – Annexes</w:t>
          </w:r>
          <w:r>
            <w:tab/>
          </w:r>
          <w:r>
            <w:t>15</w:t>
          </w:r>
        </w:p>
        <w:p>
          <w:pPr>
            <w:pStyle w:val="TOC2"/>
            <w:tabs>
              <w:tab w:val="right" w:leader="dot" w:pos="9070"/>
            </w:tabs>
          </w:pPr>
          <w:r>
            <w:t xml:space="preserve">6.1 Glossaire</w:t>
          </w:r>
          <w:r>
            <w:tab/>
          </w:r>
          <w:r>
            <w:t>15</w:t>
          </w:r>
        </w:p>
        <w:p>
          <w:pPr>
            <w:pStyle w:val="TOC2"/>
            <w:tabs>
              <w:tab w:val="right" w:leader="dot" w:pos="9070"/>
            </w:tabs>
          </w:pPr>
          <w:r>
            <w:t xml:space="preserve">6.2 Versions utilisées</w:t>
          </w:r>
          <w:r>
            <w:tab/>
          </w:r>
          <w:r>
            <w:t>15</w:t>
          </w:r>
          <w:r>
            <w:fldChar w:fldCharType="end"/>
          </w:r>
        </w:p>
      </w:sdtContent>
    </w:sdt>
    <w:p>
      <w:pPr>
        <w:pStyle w:val="Heading1"/>
        <w:numPr>
          <w:ilvl w:val="0"/>
          <w:numId w:val="2"/>
        </w:numPr>
      </w:pPr>
      <w:r>
        <w:t xml:space="preserve">Introduction et contexte</w:t>
      </w:r>
    </w:p>
    <w:p>
      <w:pPr>
        <w:pStyle w:val="Heading2"/>
        <w:numPr>
          <w:ilvl w:val="1"/>
          <w:numId w:val="2"/>
        </w:numPr>
      </w:pPr>
      <w:r>
        <w:t xml:space="preserve">Présentation du projet</w:t>
      </w:r>
    </w:p>
    <w:p>
      <w:r>
        <w:t xml:space="preserve">Ce projet exploite un jeu de données public de </w:t>
      </w:r>
      <w:r>
        <w:rPr>
          <w:b/>
          <w:bCs/>
        </w:rPr>
        <w:t xml:space="preserve">prix quotidiens des carburants en Inde</w:t>
      </w:r>
      <w:r>
        <w:t xml:space="preserve">. Le dataset contient le prix de l'essence (</w:t>
      </w:r>
      <w:r>
        <w:rPr>
          <w:rFonts w:ascii="Consolas" w:cs="Consolas" w:eastAsia="Consolas" w:hAnsi="Consolas"/>
          <w:color w:val="1C5CAB"/>
          <w:sz w:val="19"/>
          <w:szCs w:val="19"/>
        </w:rPr>
        <w:t xml:space="preserve">petrol</w:t>
      </w:r>
      <w:r>
        <w:t xml:space="preserve">), du diesel (</w:t>
      </w:r>
      <w:r>
        <w:rPr>
          <w:rFonts w:ascii="Consolas" w:cs="Consolas" w:eastAsia="Consolas" w:hAnsi="Consolas"/>
          <w:color w:val="1C5CAB"/>
          <w:sz w:val="19"/>
          <w:szCs w:val="19"/>
        </w:rPr>
        <w:t xml:space="preserve">diesel</w:t>
      </w:r>
      <w:r>
        <w:t xml:space="preserve">) et de l'essence premium (</w:t>
      </w:r>
      <w:r>
        <w:rPr>
          <w:rFonts w:ascii="Consolas" w:cs="Consolas" w:eastAsia="Consolas" w:hAnsi="Consolas"/>
          <w:color w:val="1C5CAB"/>
          <w:sz w:val="19"/>
          <w:szCs w:val="19"/>
        </w:rPr>
        <w:t xml:space="preserve">xpremium</w:t>
      </w:r>
      <w:r>
        <w:t xml:space="preserve">) relevés dans </w:t>
      </w:r>
      <w:r>
        <w:rPr>
          <w:b/>
          <w:bCs/>
        </w:rPr>
        <w:t xml:space="preserve">695 villes</w:t>
      </w:r>
      <w:r>
        <w:t xml:space="preserve"> de </w:t>
      </w:r>
      <w:r>
        <w:rPr>
          <w:b/>
          <w:bCs/>
        </w:rPr>
        <w:t xml:space="preserve">32 États et territoires</w:t>
      </w:r>
      <w:r>
        <w:t xml:space="preserve">, du </w:t>
      </w:r>
      <w:r>
        <w:rPr>
          <w:b/>
          <w:bCs/>
        </w:rPr>
        <w:t xml:space="preserve">8 mai au 15 juillet 2024</w:t>
      </w:r>
      <w:r>
        <w:t xml:space="preserve"> (69 jours), soit </w:t>
      </w:r>
      <w:r>
        <w:rPr>
          <w:b/>
          <w:bCs/>
        </w:rPr>
        <w:t xml:space="preserve">41 406 relevés</w:t>
      </w:r>
      <w:r>
        <w:t xml:space="preserve">.</w:t>
      </w:r>
    </w:p>
    <w:p>
      <w:r>
        <w:t xml:space="preserve">En Inde, le prix à la pompe varie fortement d'un État à l'autre, principalement à cause des taxes fixées par chaque État et des coûts de transport. Sur la période, le prix moyen de l'essence par ville va de 82,42 ₹ (îles Andaman-et-Nicobar) à plus de 110 ₹ par litre (Andhra Pradesh).</w:t>
      </w:r>
    </w:p>
    <w:p>
      <w:pPr>
        <w:pStyle w:val="Heading2"/>
        <w:numPr>
          <w:ilvl w:val="1"/>
          <w:numId w:val="2"/>
        </w:numPr>
      </w:pPr>
      <w:r>
        <w:t xml:space="preserve">Objectifs</w:t>
      </w:r>
    </w:p>
    <w:p>
      <w:pPr>
        <w:pStyle w:val="ListParagraph"/>
        <w:numPr>
          <w:ilvl w:val="0"/>
          <w:numId w:val="3"/>
        </w:numPr>
        <w:spacing w:after="80"/>
      </w:pPr>
      <w:r>
        <w:rPr>
          <w:b/>
          <w:bCs/>
        </w:rPr>
        <w:t xml:space="preserve">Nettoyer et documenter les données</w:t>
      </w:r>
      <w:r>
        <w:t xml:space="preserve"> : produire un fichier fiable et une datacard qui décrit son contenu, ses limites et sa qualité.</w:t>
      </w:r>
    </w:p>
    <w:p>
      <w:pPr>
        <w:pStyle w:val="ListParagraph"/>
        <w:numPr>
          <w:ilvl w:val="0"/>
          <w:numId w:val="3"/>
        </w:numPr>
        <w:spacing w:after="80"/>
      </w:pPr>
      <w:r>
        <w:rPr>
          <w:b/>
          <w:bCs/>
        </w:rPr>
        <w:t xml:space="preserve">Analyser les écarts de prix</w:t>
      </w:r>
      <w:r>
        <w:t xml:space="preserve"> entre États et villes, et leur évolution dans le temps, à l'aide de graphes.</w:t>
      </w:r>
    </w:p>
    <w:p>
      <w:pPr>
        <w:pStyle w:val="ListParagraph"/>
        <w:numPr>
          <w:ilvl w:val="0"/>
          <w:numId w:val="3"/>
        </w:numPr>
        <w:spacing w:after="80"/>
      </w:pPr>
      <w:r>
        <w:rPr>
          <w:b/>
          <w:bCs/>
        </w:rPr>
        <w:t xml:space="preserve">Construire un modèle de prédiction</w:t>
      </w:r>
      <w:r>
        <w:t xml:space="preserve"> du prix de l'essence d'une ville à partir de son État, de son prix du diesel et de la date. Cas d'usage : estimer un prix d'essence manquant quand le prix du diesel est connu.</w:t>
      </w:r>
    </w:p>
    <w:p>
      <w:pPr>
        <w:pStyle w:val="ListParagraph"/>
        <w:numPr>
          <w:ilvl w:val="0"/>
          <w:numId w:val="3"/>
        </w:numPr>
        <w:spacing w:after="80"/>
      </w:pPr>
      <w:r>
        <w:rPr>
          <w:b/>
          <w:bCs/>
        </w:rPr>
        <w:t xml:space="preserve">Rendre le tout reproductible</w:t>
      </w:r>
      <w:r>
        <w:t xml:space="preserve"> : un nouvel arrivant doit pouvoir tout régénérer (données propres, graphes, modèles, documentation) avec une seule commande.</w:t>
      </w:r>
    </w:p>
    <w:p>
      <w:pPr>
        <w:pStyle w:val="Heading2"/>
        <w:numPr>
          <w:ilvl w:val="1"/>
          <w:numId w:val="2"/>
        </w:numPr>
      </w:pPr>
      <w:r>
        <w:t xml:space="preserve">Public visé et périmètre</w:t>
      </w:r>
    </w:p>
    <w:p>
      <w:r>
        <w:t xml:space="preserve">Ce document s'adresse aux développeurs et data scientists qui reprennent ou font évoluer le projet. Il décrit l'architecture, les données, les modèles et les scripts. L'installation pas à pas est décrite dans un document séparé : le </w:t>
      </w:r>
      <w:r>
        <w:rPr>
          <w:b/>
          <w:bCs/>
        </w:rPr>
        <w:t xml:space="preserve">support d'onboarding</w:t>
      </w:r>
      <w:r>
        <w:t xml:space="preserve">.</w:t>
      </w:r>
    </w:p>
    <w:p>
      <w:pPr>
        <w:pStyle w:val="Remarque"/>
      </w:pPr>
      <w:r>
        <w:rPr>
          <w:b/>
          <w:bCs/>
        </w:rPr>
        <w:t xml:space="preserve">Emplacement conseillé :</w:t>
      </w:r>
      <w:r>
        <w:t xml:space="preserve"> ce document se range dans le dossier </w:t>
      </w:r>
      <w:r>
        <w:rPr>
          <w:rFonts w:ascii="Consolas" w:cs="Consolas" w:eastAsia="Consolas" w:hAnsi="Consolas"/>
          <w:color w:val="1C5CAB"/>
          <w:sz w:val="19"/>
          <w:szCs w:val="19"/>
        </w:rPr>
        <w:t xml:space="preserve">docs/</w:t>
      </w:r>
      <w:r>
        <w:t xml:space="preserve"> du dépôt. Les liens vers la datacard et les model cards sont relatifs à ce dossier. Les model cards et le rapport de résultats n'existent qu'après l'exécution du pipeline (</w:t>
      </w:r>
      <w:r>
        <w:rPr>
          <w:rFonts w:ascii="Consolas" w:cs="Consolas" w:eastAsia="Consolas" w:hAnsi="Consolas"/>
          <w:color w:val="1C5CAB"/>
          <w:sz w:val="19"/>
          <w:szCs w:val="19"/>
        </w:rPr>
        <w:t xml:space="preserve">python run_pipeline.py</w:t>
      </w:r>
      <w:r>
        <w:t xml:space="preserve">).</w:t>
      </w:r>
    </w:p>
    <w:p>
      <w:pPr>
        <w:pStyle w:val="Heading1"/>
        <w:numPr>
          <w:ilvl w:val="0"/>
          <w:numId w:val="2"/>
        </w:numPr>
      </w:pPr>
      <w:r>
        <w:t xml:space="preserve">Architecture</w:t>
      </w:r>
    </w:p>
    <w:p>
      <w:pPr>
        <w:pStyle w:val="Heading2"/>
        <w:numPr>
          <w:ilvl w:val="1"/>
          <w:numId w:val="2"/>
        </w:numPr>
      </w:pPr>
      <w:r>
        <w:t xml:space="preserve">Diagramme de flux des données aux modèles</w:t>
      </w:r>
    </w:p>
    <w:p>
      <w:r>
        <w:t xml:space="preserve">Le projet est un </w:t>
      </w:r>
      <w:r>
        <w:rPr>
          <w:b/>
          <w:bCs/>
        </w:rPr>
        <w:t xml:space="preserve">pipeline en 4 scripts</w:t>
      </w:r>
      <w:r>
        <w:t xml:space="preserve"> exécutés dans l'ordre. Chaque script lit les fichiers produits par le précédent. Seul le fichier brut est versionné dans Git : tout le reste est généré.</w:t>
      </w:r>
    </w:p>
    <w:p>
      <w:pPr>
        <w:keepNext/>
        <w:spacing w:after="0" w:before="120"/>
        <w:jc w:val="center"/>
      </w:pPr>
      <w:r>
        <w:drawing>
          <wp:inline distT="0" distB="0" distL="0" distR="0">
            <wp:extent cx="4476750" cy="4486275"/>
            <wp:effectExtent t="0" r="0" b="0" l="0"/>
            <wp:docPr id="1" name="Figure 1 – Flux des données : du fichier ARFF brut aux modèles et à leur documentation" descr="Figure 1 – Flux des données : du fichier ARFF brut aux modèles et à leur documentation" title="Figure 1 – Flux des données : du fichier ARFF brut aux modèles et à leur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486275"/>
                    </a:xfrm>
                    <a:prstGeom prst="rect">
                      <a:avLst/>
                    </a:prstGeom>
                  </pic:spPr>
                </pic:pic>
              </a:graphicData>
            </a:graphic>
          </wp:inline>
        </w:drawing>
      </w:r>
    </w:p>
    <w:p>
      <w:pPr>
        <w:pStyle w:val="Legende"/>
      </w:pPr>
      <w:r>
        <w:t xml:space="preserve">Figure 1 – Flux des données : du fichier ARFF brut aux modèles et à leur documentation</w:t>
      </w:r>
    </w:p>
    <w:p>
      <w:pPr>
        <w:pStyle w:val="Heading2"/>
        <w:numPr>
          <w:ilvl w:val="1"/>
          <w:numId w:val="2"/>
        </w:numPr>
      </w:pPr>
      <w:r>
        <w:t xml:space="preserve">Organisation du dépôt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63"/>
        <w:gridCol w:w="4429"/>
        <w:gridCol w:w="1478"/>
      </w:tblGrid>
      <w:tr>
        <w:trPr>
          <w:cantSplit/>
          <w:tblHeader/>
        </w:trPr>
        <w:tc>
          <w:tcPr>
            <w:tcW w:type="dxa" w:w="3163"/>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Chemin</w:t>
            </w:r>
          </w:p>
        </w:tc>
        <w:tc>
          <w:tcPr>
            <w:tcW w:type="dxa" w:w="4429"/>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Contenu</w:t>
            </w:r>
          </w:p>
        </w:tc>
        <w:tc>
          <w:tcPr>
            <w:tcW w:type="dxa" w:w="1478"/>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Versionné ?</w:t>
            </w:r>
          </w:p>
        </w:tc>
      </w:tr>
      <w:tr>
        <w:trPr>
          <w:cantSplit/>
          <w:tblHeader w:val="false"/>
        </w:trPr>
        <w:tc>
          <w:tcPr>
            <w:tcW w:type="dxa" w:w="316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data/raw/</w:t>
            </w:r>
          </w:p>
        </w:tc>
        <w:tc>
          <w:tcPr>
            <w:tcW w:type="dxa" w:w="4429"/>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Fichier brut </w:t>
            </w:r>
            <w:r>
              <w:rPr>
                <w:rFonts w:ascii="Consolas" w:cs="Consolas" w:eastAsia="Consolas" w:hAnsi="Consolas"/>
                <w:color w:val="1C5CAB"/>
                <w:sz w:val="19"/>
                <w:szCs w:val="19"/>
              </w:rPr>
              <w:t xml:space="preserve">fuel_price_india.arff</w:t>
            </w:r>
            <w:r>
              <w:rPr>
                <w:sz w:val="20"/>
                <w:szCs w:val="20"/>
              </w:rPr>
              <w:t xml:space="preserve"> (donnée d'entrée)</w:t>
            </w:r>
          </w:p>
        </w:tc>
        <w:tc>
          <w:tcPr>
            <w:tcW w:type="dxa" w:w="147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Oui</w:t>
            </w:r>
          </w:p>
        </w:tc>
      </w:tr>
      <w:tr>
        <w:trPr>
          <w:cantSplit/>
          <w:tblHeader w:val="false"/>
        </w:trPr>
        <w:tc>
          <w:tcPr>
            <w:tcW w:type="dxa" w:w="316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src/</w:t>
            </w:r>
          </w:p>
        </w:tc>
        <w:tc>
          <w:tcPr>
            <w:tcW w:type="dxa" w:w="4429"/>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config.py</w:t>
            </w:r>
            <w:r>
              <w:rPr>
                <w:sz w:val="20"/>
                <w:szCs w:val="20"/>
              </w:rPr>
              <w:t xml:space="preserve"> et les 4 scripts du pipeline</w:t>
            </w:r>
          </w:p>
        </w:tc>
        <w:tc>
          <w:tcPr>
            <w:tcW w:type="dxa" w:w="147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Oui</w:t>
            </w:r>
          </w:p>
        </w:tc>
      </w:tr>
      <w:tr>
        <w:trPr>
          <w:cantSplit/>
          <w:tblHeader w:val="false"/>
        </w:trPr>
        <w:tc>
          <w:tcPr>
            <w:tcW w:type="dxa" w:w="316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docs/datacards/</w:t>
            </w:r>
          </w:p>
        </w:tc>
        <w:tc>
          <w:tcPr>
            <w:tcW w:type="dxa" w:w="4429"/>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Datacard du dataset (rédigée à la main)</w:t>
            </w:r>
          </w:p>
        </w:tc>
        <w:tc>
          <w:tcPr>
            <w:tcW w:type="dxa" w:w="147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Oui</w:t>
            </w:r>
          </w:p>
        </w:tc>
      </w:tr>
      <w:tr>
        <w:trPr>
          <w:cantSplit/>
          <w:tblHeader w:val="false"/>
        </w:trPr>
        <w:tc>
          <w:tcPr>
            <w:tcW w:type="dxa" w:w="316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docs/explication_nettoyage.md</w:t>
            </w:r>
          </w:p>
        </w:tc>
        <w:tc>
          <w:tcPr>
            <w:tcW w:type="dxa" w:w="4429"/>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Explication pas à pas du nettoyage</w:t>
            </w:r>
          </w:p>
        </w:tc>
        <w:tc>
          <w:tcPr>
            <w:tcW w:type="dxa" w:w="147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Oui</w:t>
            </w:r>
          </w:p>
        </w:tc>
      </w:tr>
      <w:tr>
        <w:trPr>
          <w:cantSplit/>
          <w:tblHeader w:val="false"/>
        </w:trPr>
        <w:tc>
          <w:tcPr>
            <w:tcW w:type="dxa" w:w="316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run_pipeline.py</w:t>
            </w:r>
          </w:p>
        </w:tc>
        <w:tc>
          <w:tcPr>
            <w:tcW w:type="dxa" w:w="4429"/>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Lance les 4 scripts dans l'ordre</w:t>
            </w:r>
          </w:p>
        </w:tc>
        <w:tc>
          <w:tcPr>
            <w:tcW w:type="dxa" w:w="147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Oui</w:t>
            </w:r>
          </w:p>
        </w:tc>
      </w:tr>
      <w:tr>
        <w:trPr>
          <w:cantSplit/>
          <w:tblHeader w:val="false"/>
        </w:trPr>
        <w:tc>
          <w:tcPr>
            <w:tcW w:type="dxa" w:w="316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requirements.txt</w:t>
            </w:r>
            <w:r>
              <w:rPr>
                <w:sz w:val="20"/>
                <w:szCs w:val="20"/>
              </w:rPr>
              <w:t xml:space="preserve">, </w:t>
            </w:r>
            <w:r>
              <w:rPr>
                <w:rFonts w:ascii="Consolas" w:cs="Consolas" w:eastAsia="Consolas" w:hAnsi="Consolas"/>
                <w:color w:val="1C5CAB"/>
                <w:sz w:val="19"/>
                <w:szCs w:val="19"/>
              </w:rPr>
              <w:t xml:space="preserve">.gitignore</w:t>
            </w:r>
            <w:r>
              <w:rPr>
                <w:sz w:val="20"/>
                <w:szCs w:val="20"/>
              </w:rPr>
              <w:t xml:space="preserve">, </w:t>
            </w:r>
            <w:r>
              <w:rPr>
                <w:rFonts w:ascii="Consolas" w:cs="Consolas" w:eastAsia="Consolas" w:hAnsi="Consolas"/>
                <w:color w:val="1C5CAB"/>
                <w:sz w:val="19"/>
                <w:szCs w:val="19"/>
              </w:rPr>
              <w:t xml:space="preserve">README.md</w:t>
            </w:r>
          </w:p>
        </w:tc>
        <w:tc>
          <w:tcPr>
            <w:tcW w:type="dxa" w:w="4429"/>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Dépendances, exclusions Git, présentation</w:t>
            </w:r>
          </w:p>
        </w:tc>
        <w:tc>
          <w:tcPr>
            <w:tcW w:type="dxa" w:w="147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Oui</w:t>
            </w:r>
          </w:p>
        </w:tc>
      </w:tr>
      <w:tr>
        <w:trPr>
          <w:cantSplit/>
          <w:tblHeader w:val="false"/>
        </w:trPr>
        <w:tc>
          <w:tcPr>
            <w:tcW w:type="dxa" w:w="316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data/processed/</w:t>
            </w:r>
          </w:p>
        </w:tc>
        <w:tc>
          <w:tcPr>
            <w:tcW w:type="dxa" w:w="4429"/>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CSV nettoyé</w:t>
            </w:r>
          </w:p>
        </w:tc>
        <w:tc>
          <w:tcPr>
            <w:tcW w:type="dxa" w:w="147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Non (généré)</w:t>
            </w:r>
          </w:p>
        </w:tc>
      </w:tr>
      <w:tr>
        <w:trPr>
          <w:cantSplit/>
          <w:tblHeader w:val="false"/>
        </w:trPr>
        <w:tc>
          <w:tcPr>
            <w:tcW w:type="dxa" w:w="316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figures/</w:t>
            </w:r>
          </w:p>
        </w:tc>
        <w:tc>
          <w:tcPr>
            <w:tcW w:type="dxa" w:w="4429"/>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Graphes PNG</w:t>
            </w:r>
          </w:p>
        </w:tc>
        <w:tc>
          <w:tcPr>
            <w:tcW w:type="dxa" w:w="147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Non (généré)</w:t>
            </w:r>
          </w:p>
        </w:tc>
      </w:tr>
      <w:tr>
        <w:trPr>
          <w:cantSplit/>
          <w:tblHeader w:val="false"/>
        </w:trPr>
        <w:tc>
          <w:tcPr>
            <w:tcW w:type="dxa" w:w="316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models/</w:t>
            </w:r>
          </w:p>
        </w:tc>
        <w:tc>
          <w:tcPr>
            <w:tcW w:type="dxa" w:w="4429"/>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Modèles </w:t>
            </w:r>
            <w:r>
              <w:rPr>
                <w:rFonts w:ascii="Consolas" w:cs="Consolas" w:eastAsia="Consolas" w:hAnsi="Consolas"/>
                <w:color w:val="1C5CAB"/>
                <w:sz w:val="19"/>
                <w:szCs w:val="19"/>
              </w:rPr>
              <w:t xml:space="preserve">.joblib</w:t>
            </w:r>
            <w:r>
              <w:rPr>
                <w:sz w:val="20"/>
                <w:szCs w:val="20"/>
              </w:rPr>
              <w:t xml:space="preserve"> et </w:t>
            </w:r>
            <w:r>
              <w:rPr>
                <w:rFonts w:ascii="Consolas" w:cs="Consolas" w:eastAsia="Consolas" w:hAnsi="Consolas"/>
                <w:color w:val="1C5CAB"/>
                <w:sz w:val="19"/>
                <w:szCs w:val="19"/>
              </w:rPr>
              <w:t xml:space="preserve">metriques.json</w:t>
            </w:r>
          </w:p>
        </w:tc>
        <w:tc>
          <w:tcPr>
            <w:tcW w:type="dxa" w:w="147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Non (généré)</w:t>
            </w:r>
          </w:p>
        </w:tc>
      </w:tr>
      <w:tr>
        <w:trPr>
          <w:cantSplit/>
          <w:tblHeader w:val="false"/>
        </w:trPr>
        <w:tc>
          <w:tcPr>
            <w:tcW w:type="dxa" w:w="316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rFonts w:ascii="Consolas" w:cs="Consolas" w:eastAsia="Consolas" w:hAnsi="Consolas"/>
                <w:color w:val="1C5CAB"/>
                <w:sz w:val="19"/>
                <w:szCs w:val="19"/>
              </w:rPr>
              <w:t xml:space="preserve">docs/model_cards/</w:t>
            </w:r>
            <w:r>
              <w:rPr>
                <w:sz w:val="20"/>
                <w:szCs w:val="20"/>
              </w:rPr>
              <w:t xml:space="preserve">, </w:t>
            </w:r>
            <w:r>
              <w:rPr>
                <w:rFonts w:ascii="Consolas" w:cs="Consolas" w:eastAsia="Consolas" w:hAnsi="Consolas"/>
                <w:color w:val="1C5CAB"/>
                <w:sz w:val="19"/>
                <w:szCs w:val="19"/>
              </w:rPr>
              <w:t xml:space="preserve">docs/generated/</w:t>
            </w:r>
          </w:p>
        </w:tc>
        <w:tc>
          <w:tcPr>
            <w:tcW w:type="dxa" w:w="4429"/>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Model cards et rapport de résultats</w:t>
            </w:r>
          </w:p>
        </w:tc>
        <w:tc>
          <w:tcPr>
            <w:tcW w:type="dxa" w:w="147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Non (généré)</w:t>
            </w:r>
          </w:p>
        </w:tc>
      </w:tr>
    </w:tbl>
    <w:p>
      <w:pPr>
        <w:pStyle w:val="Heading2"/>
        <w:numPr>
          <w:ilvl w:val="1"/>
          <w:numId w:val="2"/>
        </w:numPr>
      </w:pPr>
      <w:r>
        <w:t xml:space="preserve">Choix techniques</w:t>
      </w:r>
    </w:p>
    <w:p>
      <w:pPr>
        <w:pStyle w:val="ListParagraph"/>
        <w:numPr>
          <w:ilvl w:val="0"/>
          <w:numId w:val="4"/>
        </w:numPr>
        <w:spacing w:after="60"/>
      </w:pPr>
      <w:r>
        <w:rPr>
          <w:b/>
          <w:bCs/>
        </w:rPr>
        <w:t xml:space="preserve">Python</w:t>
      </w:r>
      <w:r>
        <w:t xml:space="preserve"> avec </w:t>
      </w:r>
      <w:r>
        <w:rPr>
          <w:b/>
          <w:bCs/>
        </w:rPr>
        <w:t xml:space="preserve">pandas</w:t>
      </w:r>
      <w:r>
        <w:t xml:space="preserve"> (manipulation des données), </w:t>
      </w:r>
      <w:r>
        <w:rPr>
          <w:b/>
          <w:bCs/>
        </w:rPr>
        <w:t xml:space="preserve">scikit-learn</w:t>
      </w:r>
      <w:r>
        <w:t xml:space="preserve"> (modèles), </w:t>
      </w:r>
      <w:r>
        <w:rPr>
          <w:b/>
          <w:bCs/>
        </w:rPr>
        <w:t xml:space="preserve">matplotlib</w:t>
      </w:r>
      <w:r>
        <w:t xml:space="preserve"> (graphes) et </w:t>
      </w:r>
      <w:r>
        <w:rPr>
          <w:b/>
          <w:bCs/>
        </w:rPr>
        <w:t xml:space="preserve">joblib</w:t>
      </w:r>
      <w:r>
        <w:t xml:space="preserve"> (sauvegarde des modèles). Versions minimales dans </w:t>
      </w:r>
      <w:r>
        <w:rPr>
          <w:rFonts w:ascii="Consolas" w:cs="Consolas" w:eastAsia="Consolas" w:hAnsi="Consolas"/>
          <w:color w:val="1C5CAB"/>
          <w:sz w:val="19"/>
          <w:szCs w:val="19"/>
        </w:rPr>
        <w:t xml:space="preserve">requirements.txt</w:t>
      </w:r>
      <w:r>
        <w:t xml:space="preserve">.</w:t>
      </w:r>
    </w:p>
    <w:p>
      <w:pPr>
        <w:pStyle w:val="ListParagraph"/>
        <w:numPr>
          <w:ilvl w:val="0"/>
          <w:numId w:val="4"/>
        </w:numPr>
        <w:spacing w:after="60"/>
      </w:pPr>
      <w:r>
        <w:rPr>
          <w:b/>
          <w:bCs/>
        </w:rPr>
        <w:t xml:space="preserve">Configuration centralisée</w:t>
      </w:r>
      <w:r>
        <w:t xml:space="preserve"> dans </w:t>
      </w:r>
      <w:r>
        <w:rPr>
          <w:rFonts w:ascii="Consolas" w:cs="Consolas" w:eastAsia="Consolas" w:hAnsi="Consolas"/>
          <w:color w:val="1C5CAB"/>
          <w:sz w:val="19"/>
          <w:szCs w:val="19"/>
        </w:rPr>
        <w:t xml:space="preserve">src/config.py</w:t>
      </w:r>
      <w:r>
        <w:t xml:space="preserve"> : chemins, colonnes, paramètres des modèles et couleurs. Les chemins sont calculés à partir de l'emplacement du fichier, donc les scripts fonctionnent depuis n'importe quel dossier.</w:t>
      </w:r>
    </w:p>
    <w:p>
      <w:pPr>
        <w:pStyle w:val="ListParagraph"/>
        <w:numPr>
          <w:ilvl w:val="0"/>
          <w:numId w:val="4"/>
        </w:numPr>
        <w:spacing w:after="60"/>
      </w:pPr>
      <w:r>
        <w:rPr>
          <w:b/>
          <w:bCs/>
        </w:rPr>
        <w:t xml:space="preserve">Artefacts non versionnés</w:t>
      </w:r>
      <w:r>
        <w:t xml:space="preserve"> : les données nettoyées, les graphes, les modèles et la documentation générée sont exclus par le </w:t>
      </w:r>
      <w:r>
        <w:rPr>
          <w:rFonts w:ascii="Consolas" w:cs="Consolas" w:eastAsia="Consolas" w:hAnsi="Consolas"/>
          <w:color w:val="1C5CAB"/>
          <w:sz w:val="19"/>
          <w:szCs w:val="19"/>
        </w:rPr>
        <w:t xml:space="preserve">.gitignore</w:t>
      </w:r>
      <w:r>
        <w:t xml:space="preserve">. Le dépôt reste léger, et on vérifie que tout est reproductible.</w:t>
      </w:r>
    </w:p>
    <w:p>
      <w:pPr>
        <w:pStyle w:val="ListParagraph"/>
        <w:numPr>
          <w:ilvl w:val="0"/>
          <w:numId w:val="4"/>
        </w:numPr>
        <w:spacing w:after="60"/>
      </w:pPr>
      <w:r>
        <w:rPr>
          <w:b/>
          <w:bCs/>
        </w:rPr>
        <w:t xml:space="preserve">Reproductibilité</w:t>
      </w:r>
      <w:r>
        <w:t xml:space="preserve"> : graine aléatoire fixe (</w:t>
      </w:r>
      <w:r>
        <w:rPr>
          <w:rFonts w:ascii="Consolas" w:cs="Consolas" w:eastAsia="Consolas" w:hAnsi="Consolas"/>
          <w:color w:val="1C5CAB"/>
          <w:sz w:val="19"/>
          <w:szCs w:val="19"/>
        </w:rPr>
        <w:t xml:space="preserve">GRAINE = 42</w:t>
      </w:r>
      <w:r>
        <w:t xml:space="preserve">) pour le découpage et les modèles.</w:t>
      </w:r>
    </w:p>
    <w:p>
      <w:pPr>
        <w:pStyle w:val="ListParagraph"/>
        <w:numPr>
          <w:ilvl w:val="0"/>
          <w:numId w:val="4"/>
        </w:numPr>
        <w:spacing w:after="60"/>
      </w:pPr>
      <w:r>
        <w:rPr>
          <w:b/>
          <w:bCs/>
        </w:rPr>
        <w:t xml:space="preserve">Documentation générée</w:t>
      </w:r>
      <w:r>
        <w:t xml:space="preserve"> : les chiffres des model cards sont lus dans </w:t>
      </w:r>
      <w:r>
        <w:rPr>
          <w:rFonts w:ascii="Consolas" w:cs="Consolas" w:eastAsia="Consolas" w:hAnsi="Consolas"/>
          <w:color w:val="1C5CAB"/>
          <w:sz w:val="19"/>
          <w:szCs w:val="19"/>
        </w:rPr>
        <w:t xml:space="preserve">metriques.json</w:t>
      </w:r>
      <w:r>
        <w:t xml:space="preserve"> et jamais recopiés à la main.</w:t>
      </w:r>
    </w:p>
    <w:p>
      <w:pPr>
        <w:pStyle w:val="Heading1"/>
        <w:numPr>
          <w:ilvl w:val="0"/>
          <w:numId w:val="2"/>
        </w:numPr>
      </w:pPr>
      <w:r>
        <w:t xml:space="preserve">Données</w:t>
      </w:r>
    </w:p>
    <w:p>
      <w:pPr>
        <w:pStyle w:val="Heading2"/>
        <w:numPr>
          <w:ilvl w:val="1"/>
          <w:numId w:val="2"/>
        </w:numPr>
      </w:pPr>
      <w:r>
        <w:t xml:space="preserve">Source et datacard</w:t>
      </w:r>
    </w:p>
    <w:p>
      <w:r>
        <w:t xml:space="preserve">La description complète du dataset (colonnes, statistiques, qualité, biais, usages déconseillés) se trouve dans la datacard : </w:t>
      </w:r>
      <w:hyperlink w:history="1" r:id="rIdbg7wvvrp3bwcnzc8vozyk">
        <w:r>
          <w:rPr>
            <w:rStyle w:val="Hyperlink"/>
            <w:color w:val="256ABF"/>
            <w:u w:val="single"/>
          </w:rPr>
          <w:t xml:space="preserve">docs/datacards/fuel_price_datacard.md</w:t>
        </w:r>
      </w:hyperlink>
      <w: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1"/>
        <w:gridCol w:w="6719"/>
      </w:tblGrid>
      <w:tr>
        <w:trPr>
          <w:cantSplit/>
          <w:tblHeader/>
        </w:trPr>
        <w:tc>
          <w:tcPr>
            <w:tcW w:type="dxa" w:w="2351"/>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Élément</w:t>
            </w:r>
          </w:p>
        </w:tc>
        <w:tc>
          <w:tcPr>
            <w:tcW w:type="dxa" w:w="6719"/>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Valeur</w:t>
            </w:r>
          </w:p>
        </w:tc>
      </w:tr>
      <w:tr>
        <w:trPr>
          <w:cantSplit/>
          <w:tblHeader w:val="false"/>
        </w:trPr>
        <w:tc>
          <w:tcPr>
            <w:tcW w:type="dxa" w:w="2351"/>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Fichier</w:t>
            </w:r>
          </w:p>
        </w:tc>
        <w:tc>
          <w:tcPr>
            <w:tcW w:type="dxa" w:w="6719"/>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data/raw/fuel_price_india.arff</w:t>
            </w:r>
            <w:r>
              <w:rPr>
                <w:sz w:val="20"/>
                <w:szCs w:val="20"/>
              </w:rPr>
              <w:t xml:space="preserve"> (format ARFF de Weka, environ 2 Mo)</w:t>
            </w:r>
          </w:p>
        </w:tc>
      </w:tr>
      <w:tr>
        <w:trPr>
          <w:cantSplit/>
          <w:tblHeader w:val="false"/>
        </w:trPr>
        <w:tc>
          <w:tcPr>
            <w:tcW w:type="dxa" w:w="2351"/>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Taille</w:t>
            </w:r>
          </w:p>
        </w:tc>
        <w:tc>
          <w:tcPr>
            <w:tcW w:type="dxa" w:w="6719"/>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41 406 lignes × 6 colonnes</w:t>
            </w:r>
          </w:p>
        </w:tc>
      </w:tr>
      <w:tr>
        <w:trPr>
          <w:cantSplit/>
          <w:tblHeader w:val="false"/>
        </w:trPr>
        <w:tc>
          <w:tcPr>
            <w:tcW w:type="dxa" w:w="2351"/>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Colonnes</w:t>
            </w:r>
          </w:p>
        </w:tc>
        <w:tc>
          <w:tcPr>
            <w:tcW w:type="dxa" w:w="6719"/>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city_name</w:t>
            </w:r>
            <w:r>
              <w:rPr>
                <w:sz w:val="20"/>
                <w:szCs w:val="20"/>
              </w:rPr>
              <w:t xml:space="preserve">, </w:t>
            </w:r>
            <w:r>
              <w:rPr>
                <w:rFonts w:ascii="Consolas" w:cs="Consolas" w:eastAsia="Consolas" w:hAnsi="Consolas"/>
                <w:color w:val="1C5CAB"/>
                <w:sz w:val="19"/>
                <w:szCs w:val="19"/>
              </w:rPr>
              <w:t xml:space="preserve">state_name</w:t>
            </w:r>
            <w:r>
              <w:rPr>
                <w:sz w:val="20"/>
                <w:szCs w:val="20"/>
              </w:rPr>
              <w:t xml:space="preserve">, </w:t>
            </w:r>
            <w:r>
              <w:rPr>
                <w:rFonts w:ascii="Consolas" w:cs="Consolas" w:eastAsia="Consolas" w:hAnsi="Consolas"/>
                <w:color w:val="1C5CAB"/>
                <w:sz w:val="19"/>
                <w:szCs w:val="19"/>
              </w:rPr>
              <w:t xml:space="preserve">date</w:t>
            </w:r>
            <w:r>
              <w:rPr>
                <w:sz w:val="20"/>
                <w:szCs w:val="20"/>
              </w:rPr>
              <w:t xml:space="preserve">, </w:t>
            </w:r>
            <w:r>
              <w:rPr>
                <w:rFonts w:ascii="Consolas" w:cs="Consolas" w:eastAsia="Consolas" w:hAnsi="Consolas"/>
                <w:color w:val="1C5CAB"/>
                <w:sz w:val="19"/>
                <w:szCs w:val="19"/>
              </w:rPr>
              <w:t xml:space="preserve">petrol</w:t>
            </w:r>
            <w:r>
              <w:rPr>
                <w:sz w:val="20"/>
                <w:szCs w:val="20"/>
              </w:rPr>
              <w:t xml:space="preserve">, </w:t>
            </w:r>
            <w:r>
              <w:rPr>
                <w:rFonts w:ascii="Consolas" w:cs="Consolas" w:eastAsia="Consolas" w:hAnsi="Consolas"/>
                <w:color w:val="1C5CAB"/>
                <w:sz w:val="19"/>
                <w:szCs w:val="19"/>
              </w:rPr>
              <w:t xml:space="preserve">diesel</w:t>
            </w:r>
            <w:r>
              <w:rPr>
                <w:sz w:val="20"/>
                <w:szCs w:val="20"/>
              </w:rPr>
              <w:t xml:space="preserve">, </w:t>
            </w:r>
            <w:r>
              <w:rPr>
                <w:rFonts w:ascii="Consolas" w:cs="Consolas" w:eastAsia="Consolas" w:hAnsi="Consolas"/>
                <w:color w:val="1C5CAB"/>
                <w:sz w:val="19"/>
                <w:szCs w:val="19"/>
              </w:rPr>
              <w:t xml:space="preserve">xpremium</w:t>
            </w:r>
          </w:p>
        </w:tc>
      </w:tr>
      <w:tr>
        <w:trPr>
          <w:cantSplit/>
          <w:tblHeader w:val="false"/>
        </w:trPr>
        <w:tc>
          <w:tcPr>
            <w:tcW w:type="dxa" w:w="2351"/>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Couverture</w:t>
            </w:r>
          </w:p>
        </w:tc>
        <w:tc>
          <w:tcPr>
            <w:tcW w:type="dxa" w:w="6719"/>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695 villes (692 noms distincts), 32 États et territoires</w:t>
            </w:r>
          </w:p>
        </w:tc>
      </w:tr>
      <w:tr>
        <w:trPr>
          <w:cantSplit/>
          <w:tblHeader w:val="false"/>
        </w:trPr>
        <w:tc>
          <w:tcPr>
            <w:tcW w:type="dxa" w:w="2351"/>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Période</w:t>
            </w:r>
          </w:p>
        </w:tc>
        <w:tc>
          <w:tcPr>
            <w:tcW w:type="dxa" w:w="6719"/>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du 08/05/2024 au 15/07/2024 (69 jours)</w:t>
            </w:r>
          </w:p>
        </w:tc>
      </w:tr>
      <w:tr>
        <w:trPr>
          <w:cantSplit/>
          <w:tblHeader w:val="false"/>
        </w:trPr>
        <w:tc>
          <w:tcPr>
            <w:tcW w:type="dxa" w:w="2351"/>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Unité des prix</w:t>
            </w:r>
          </w:p>
        </w:tc>
        <w:tc>
          <w:tcPr>
            <w:tcW w:type="dxa" w:w="6719"/>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roupies (₹) par litre (déduite des ordres de grandeur, non précisée dans le fichier)</w:t>
            </w:r>
          </w:p>
        </w:tc>
      </w:tr>
      <w:tr>
        <w:trPr>
          <w:cantSplit/>
          <w:tblHeader w:val="false"/>
        </w:trPr>
        <w:tc>
          <w:tcPr>
            <w:tcW w:type="dxa" w:w="2351"/>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val="false"/>
              <w:spacing w:after="0" w:line="252" w:lineRule="auto"/>
              <w:jc w:val="left"/>
            </w:pPr>
            <w:r>
              <w:rPr>
                <w:b/>
                <w:bCs/>
                <w:sz w:val="20"/>
                <w:szCs w:val="20"/>
              </w:rPr>
              <w:t xml:space="preserve">Source d'origine, licence</w:t>
            </w:r>
          </w:p>
        </w:tc>
        <w:tc>
          <w:tcPr>
            <w:tcW w:type="dxa" w:w="6719"/>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non précisées dans le fichier</w:t>
            </w:r>
          </w:p>
        </w:tc>
      </w:tr>
    </w:tbl>
    <w:p>
      <w:pPr>
        <w:pStyle w:val="Heading2"/>
        <w:numPr>
          <w:ilvl w:val="1"/>
          <w:numId w:val="2"/>
        </w:numPr>
      </w:pPr>
      <w:r>
        <w:t xml:space="preserve">Résumé global des données</w:t>
      </w:r>
    </w:p>
    <w:p>
      <w:r>
        <w:t xml:space="preserve">Après nettoyage, il reste </w:t>
      </w:r>
      <w:r>
        <w:rPr>
          <w:b/>
          <w:bCs/>
        </w:rPr>
        <w:t xml:space="preserve">41 398 relevés</w:t>
      </w:r>
      <w:r>
        <w:t xml:space="preserve"> sans aucune valeur manquante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22"/>
        <w:gridCol w:w="1711"/>
        <w:gridCol w:w="1711"/>
        <w:gridCol w:w="2226"/>
      </w:tblGrid>
      <w:tr>
        <w:trPr>
          <w:cantSplit/>
          <w:tblHeader/>
        </w:trPr>
        <w:tc>
          <w:tcPr>
            <w:tcW w:type="dxa" w:w="3422"/>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Statistique (₹/L)</w:t>
            </w:r>
          </w:p>
        </w:tc>
        <w:tc>
          <w:tcPr>
            <w:tcW w:type="dxa" w:w="1711"/>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Essence</w:t>
            </w:r>
          </w:p>
        </w:tc>
        <w:tc>
          <w:tcPr>
            <w:tcW w:type="dxa" w:w="1711"/>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Diesel</w:t>
            </w:r>
          </w:p>
        </w:tc>
        <w:tc>
          <w:tcPr>
            <w:tcW w:type="dxa" w:w="2226"/>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Essence premium</w:t>
            </w:r>
          </w:p>
        </w:tc>
      </w:tr>
      <w:tr>
        <w:trPr>
          <w:cantSplit/>
          <w:tblHeader w:val="false"/>
        </w:trPr>
        <w:tc>
          <w:tcPr>
            <w:tcW w:type="dxa" w:w="3422"/>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Moyenne</w:t>
            </w:r>
          </w:p>
        </w:tc>
        <w:tc>
          <w:tcPr>
            <w:tcW w:type="dxa" w:w="1711"/>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101,04</w:t>
            </w:r>
          </w:p>
        </w:tc>
        <w:tc>
          <w:tcPr>
            <w:tcW w:type="dxa" w:w="1711"/>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90,82</w:t>
            </w:r>
          </w:p>
        </w:tc>
        <w:tc>
          <w:tcPr>
            <w:tcW w:type="dxa" w:w="222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104,10</w:t>
            </w:r>
          </w:p>
        </w:tc>
      </w:tr>
      <w:tr>
        <w:trPr>
          <w:cantSplit/>
          <w:tblHeader w:val="false"/>
        </w:trPr>
        <w:tc>
          <w:tcPr>
            <w:tcW w:type="dxa" w:w="3422"/>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Écart-type</w:t>
            </w:r>
          </w:p>
        </w:tc>
        <w:tc>
          <w:tcPr>
            <w:tcW w:type="dxa" w:w="1711"/>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5,25</w:t>
            </w:r>
          </w:p>
        </w:tc>
        <w:tc>
          <w:tcPr>
            <w:tcW w:type="dxa" w:w="1711"/>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3,93</w:t>
            </w:r>
          </w:p>
        </w:tc>
        <w:tc>
          <w:tcPr>
            <w:tcW w:type="dxa" w:w="222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5,26</w:t>
            </w:r>
          </w:p>
        </w:tc>
      </w:tr>
      <w:tr>
        <w:trPr>
          <w:cantSplit/>
          <w:tblHeader w:val="false"/>
        </w:trPr>
        <w:tc>
          <w:tcPr>
            <w:tcW w:type="dxa" w:w="3422"/>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Minimum</w:t>
            </w:r>
          </w:p>
        </w:tc>
        <w:tc>
          <w:tcPr>
            <w:tcW w:type="dxa" w:w="1711"/>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82,42</w:t>
            </w:r>
          </w:p>
        </w:tc>
        <w:tc>
          <w:tcPr>
            <w:tcW w:type="dxa" w:w="1711"/>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78,01</w:t>
            </w:r>
          </w:p>
        </w:tc>
        <w:tc>
          <w:tcPr>
            <w:tcW w:type="dxa" w:w="222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85,42</w:t>
            </w:r>
          </w:p>
        </w:tc>
      </w:tr>
      <w:tr>
        <w:trPr>
          <w:cantSplit/>
          <w:tblHeader w:val="false"/>
        </w:trPr>
        <w:tc>
          <w:tcPr>
            <w:tcW w:type="dxa" w:w="3422"/>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Médiane</w:t>
            </w:r>
          </w:p>
        </w:tc>
        <w:tc>
          <w:tcPr>
            <w:tcW w:type="dxa" w:w="1711"/>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101,17</w:t>
            </w:r>
          </w:p>
        </w:tc>
        <w:tc>
          <w:tcPr>
            <w:tcW w:type="dxa" w:w="1711"/>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91,41</w:t>
            </w:r>
          </w:p>
        </w:tc>
        <w:tc>
          <w:tcPr>
            <w:tcW w:type="dxa" w:w="222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104,26</w:t>
            </w:r>
          </w:p>
        </w:tc>
      </w:tr>
      <w:tr>
        <w:trPr>
          <w:cantSplit/>
          <w:tblHeader w:val="false"/>
        </w:trPr>
        <w:tc>
          <w:tcPr>
            <w:tcW w:type="dxa" w:w="3422"/>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val="false"/>
              <w:spacing w:after="0" w:line="252" w:lineRule="auto"/>
              <w:jc w:val="left"/>
            </w:pPr>
            <w:r>
              <w:rPr>
                <w:b/>
                <w:bCs/>
                <w:sz w:val="20"/>
                <w:szCs w:val="20"/>
              </w:rPr>
              <w:t xml:space="preserve">Maximum</w:t>
            </w:r>
          </w:p>
        </w:tc>
        <w:tc>
          <w:tcPr>
            <w:tcW w:type="dxa" w:w="1711"/>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right"/>
            </w:pPr>
            <w:r>
              <w:rPr>
                <w:sz w:val="20"/>
                <w:szCs w:val="20"/>
              </w:rPr>
              <w:t xml:space="preserve">112,13</w:t>
            </w:r>
          </w:p>
        </w:tc>
        <w:tc>
          <w:tcPr>
            <w:tcW w:type="dxa" w:w="1711"/>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right"/>
            </w:pPr>
            <w:r>
              <w:rPr>
                <w:sz w:val="20"/>
                <w:szCs w:val="20"/>
              </w:rPr>
              <w:t xml:space="preserve">99,60</w:t>
            </w:r>
          </w:p>
        </w:tc>
        <w:tc>
          <w:tcPr>
            <w:tcW w:type="dxa" w:w="222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right"/>
            </w:pPr>
            <w:r>
              <w:rPr>
                <w:sz w:val="20"/>
                <w:szCs w:val="20"/>
              </w:rPr>
              <w:t xml:space="preserve">115,14</w:t>
            </w:r>
          </w:p>
        </w:tc>
      </w:tr>
    </w:tbl>
    <w:p>
      <w:pPr>
        <w:spacing w:after="120"/>
      </w:pPr>
    </w:p>
    <w:p>
      <w:pPr>
        <w:keepNext/>
        <w:spacing w:after="0" w:before="120"/>
        <w:jc w:val="center"/>
      </w:pPr>
      <w:r>
        <w:drawing>
          <wp:inline distT="0" distB="0" distL="0" distR="0">
            <wp:extent cx="5715000" cy="3171825"/>
            <wp:effectExtent t="0" r="0" b="0" l="0"/>
            <wp:docPr id="1" name="Figure 2 – Distribution des trois prix sur l'ensemble des relevés" descr="Figure 2 – Distribution des trois prix sur l'ensemble des relevés" title="Figure 2 – Distribution des trois prix sur l'ensemble des relev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pStyle w:val="Legende"/>
      </w:pPr>
      <w:r>
        <w:t xml:space="preserve">Figure 2 – Distribution des trois prix sur l'ensemble des relevés</w:t>
      </w:r>
    </w:p>
    <w:p>
      <w:r>
        <w:t xml:space="preserve">Les écarts entre États sont importants : environ 28 ₹ par litre d'essence séparent l'État le moins cher de l'État le plus cher.</w:t>
      </w:r>
    </w:p>
    <w:p>
      <w:pPr>
        <w:keepNext/>
        <w:spacing w:after="0" w:before="120"/>
        <w:jc w:val="center"/>
      </w:pPr>
      <w:r>
        <w:drawing>
          <wp:inline distT="0" distB="0" distL="0" distR="0">
            <wp:extent cx="3714750" cy="4124325"/>
            <wp:effectExtent t="0" r="0" b="0" l="0"/>
            <wp:docPr id="1" name="Figure 3 – Prix moyen de l'essence par État (moyenne des villes)" descr="Figure 3 – Prix moyen de l'essence par État (moyenne des villes)" title="Figure 3 – Prix moyen de l'essence par État (moyenne des vil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14750" cy="4124325"/>
                    </a:xfrm>
                    <a:prstGeom prst="rect">
                      <a:avLst/>
                    </a:prstGeom>
                  </pic:spPr>
                </pic:pic>
              </a:graphicData>
            </a:graphic>
          </wp:inline>
        </w:drawing>
      </w:r>
    </w:p>
    <w:p>
      <w:pPr>
        <w:pStyle w:val="Legende"/>
      </w:pPr>
      <w:r>
        <w:t xml:space="preserve">Figure 3 – Prix moyen de l'essence par État (moyenne des villes)</w:t>
      </w:r>
    </w:p>
    <w:p>
      <w:pPr>
        <w:pStyle w:val="Heading2"/>
        <w:numPr>
          <w:ilvl w:val="1"/>
          <w:numId w:val="2"/>
        </w:numPr>
      </w:pPr>
      <w:r>
        <w:t xml:space="preserve">Transformation des données</w:t>
      </w:r>
    </w:p>
    <w:p>
      <w:r>
        <w:t xml:space="preserve">Le script </w:t>
      </w:r>
      <w:r>
        <w:rPr>
          <w:rFonts w:ascii="Consolas" w:cs="Consolas" w:eastAsia="Consolas" w:hAnsi="Consolas"/>
          <w:color w:val="1C5CAB"/>
          <w:sz w:val="19"/>
          <w:szCs w:val="19"/>
        </w:rPr>
        <w:t xml:space="preserve">src/01_nettoyage.py</w:t>
      </w:r>
      <w:r>
        <w:t xml:space="preserve"> applique 9 étapes. Chacune est expliquée en détail dans </w:t>
      </w:r>
      <w:hyperlink w:history="1" r:id="rIddirmrlqezbfsgajy5sb7h">
        <w:r>
          <w:rPr>
            <w:rStyle w:val="Hyperlink"/>
            <w:color w:val="256ABF"/>
            <w:u w:val="single"/>
          </w:rPr>
          <w:t xml:space="preserve">docs/explication_nettoyage.md</w:t>
        </w:r>
      </w:hyperlink>
      <w: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
        <w:gridCol w:w="5215"/>
        <w:gridCol w:w="3402"/>
      </w:tblGrid>
      <w:tr>
        <w:trPr>
          <w:cantSplit/>
          <w:tblHeader/>
        </w:trPr>
        <w:tc>
          <w:tcPr>
            <w:tcW w:type="dxa" w:w="453"/>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w:t>
            </w:r>
          </w:p>
        </w:tc>
        <w:tc>
          <w:tcPr>
            <w:tcW w:type="dxa" w:w="5215"/>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Étape</w:t>
            </w:r>
          </w:p>
        </w:tc>
        <w:tc>
          <w:tcPr>
            <w:tcW w:type="dxa" w:w="3402"/>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Effet sur le dataset</w:t>
            </w:r>
          </w:p>
        </w:tc>
      </w:tr>
      <w:tr>
        <w:trPr>
          <w:cantSplit/>
          <w:tblHeader w:val="false"/>
        </w:trPr>
        <w:tc>
          <w:tcPr>
            <w:tcW w:type="dxa" w:w="45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1</w:t>
            </w:r>
          </w:p>
        </w:tc>
        <w:tc>
          <w:tcPr>
            <w:tcW w:type="dxa" w:w="5215"/>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Lecture du fichier ARFF (noms de colonnes lus dans l'en-tête)</w:t>
            </w:r>
          </w:p>
        </w:tc>
        <w:tc>
          <w:tcPr>
            <w:tcW w:type="dxa" w:w="340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41 406 lignes × 6 colonnes</w:t>
            </w:r>
          </w:p>
        </w:tc>
      </w:tr>
      <w:tr>
        <w:trPr>
          <w:cantSplit/>
          <w:tblHeader w:val="false"/>
        </w:trPr>
        <w:tc>
          <w:tcPr>
            <w:tcW w:type="dxa" w:w="45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2</w:t>
            </w:r>
          </w:p>
        </w:tc>
        <w:tc>
          <w:tcPr>
            <w:tcW w:type="dxa" w:w="5215"/>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Nettoyage des colonnes texte (espaces superflus)</w:t>
            </w:r>
          </w:p>
        </w:tc>
        <w:tc>
          <w:tcPr>
            <w:tcW w:type="dxa" w:w="340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Aucune modification nécessaire</w:t>
            </w:r>
          </w:p>
        </w:tc>
      </w:tr>
      <w:tr>
        <w:trPr>
          <w:cantSplit/>
          <w:tblHeader w:val="false"/>
        </w:trPr>
        <w:tc>
          <w:tcPr>
            <w:tcW w:type="dxa" w:w="45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3</w:t>
            </w:r>
          </w:p>
        </w:tc>
        <w:tc>
          <w:tcPr>
            <w:tcW w:type="dxa" w:w="5215"/>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Conversion des types : </w:t>
            </w:r>
            <w:r>
              <w:rPr>
                <w:rFonts w:ascii="Consolas" w:cs="Consolas" w:eastAsia="Consolas" w:hAnsi="Consolas"/>
                <w:color w:val="1C5CAB"/>
                <w:sz w:val="19"/>
                <w:szCs w:val="19"/>
              </w:rPr>
              <w:t xml:space="preserve">?</w:t>
            </w:r>
            <w:r>
              <w:rPr>
                <w:sz w:val="20"/>
                <w:szCs w:val="20"/>
              </w:rPr>
              <w:t xml:space="preserve"> devient une valeur manquante, prix en nombres, dates en datetime</w:t>
            </w:r>
          </w:p>
        </w:tc>
        <w:tc>
          <w:tcPr>
            <w:tcW w:type="dxa" w:w="340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8 valeurs manquantes par colonne de prix</w:t>
            </w:r>
          </w:p>
        </w:tc>
      </w:tr>
      <w:tr>
        <w:trPr>
          <w:cantSplit/>
          <w:tblHeader w:val="false"/>
        </w:trPr>
        <w:tc>
          <w:tcPr>
            <w:tcW w:type="dxa" w:w="45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4</w:t>
            </w:r>
          </w:p>
        </w:tc>
        <w:tc>
          <w:tcPr>
            <w:tcW w:type="dxa" w:w="5215"/>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Suppression des doublons (exacts et ville + État + date)</w:t>
            </w:r>
          </w:p>
        </w:tc>
        <w:tc>
          <w:tcPr>
            <w:tcW w:type="dxa" w:w="340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0 doublon</w:t>
            </w:r>
          </w:p>
        </w:tc>
      </w:tr>
      <w:tr>
        <w:trPr>
          <w:cantSplit/>
          <w:tblHeader w:val="false"/>
        </w:trPr>
        <w:tc>
          <w:tcPr>
            <w:tcW w:type="dxa" w:w="45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5</w:t>
            </w:r>
          </w:p>
        </w:tc>
        <w:tc>
          <w:tcPr>
            <w:tcW w:type="dxa" w:w="5215"/>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Suppression des lignes incomplètes</w:t>
            </w:r>
          </w:p>
        </w:tc>
        <w:tc>
          <w:tcPr>
            <w:tcW w:type="dxa" w:w="340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b/>
                <w:bCs/>
                <w:sz w:val="20"/>
                <w:szCs w:val="20"/>
              </w:rPr>
              <w:t xml:space="preserve">8 lignes supprimées</w:t>
            </w:r>
            <w:r>
              <w:rPr>
                <w:sz w:val="20"/>
                <w:szCs w:val="20"/>
              </w:rPr>
              <w:t xml:space="preserve"> (Kamjong : 3, Narayanpur : 5)</w:t>
            </w:r>
          </w:p>
        </w:tc>
      </w:tr>
      <w:tr>
        <w:trPr>
          <w:cantSplit/>
          <w:tblHeader w:val="false"/>
        </w:trPr>
        <w:tc>
          <w:tcPr>
            <w:tcW w:type="dxa" w:w="45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6</w:t>
            </w:r>
          </w:p>
        </w:tc>
        <w:tc>
          <w:tcPr>
            <w:tcW w:type="dxa" w:w="5215"/>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Contrôle de plausibilité : prix entre 50 et 200 ₹</w:t>
            </w:r>
          </w:p>
        </w:tc>
        <w:tc>
          <w:tcPr>
            <w:tcW w:type="dxa" w:w="340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0 ligne supprimée</w:t>
            </w:r>
          </w:p>
        </w:tc>
      </w:tr>
      <w:tr>
        <w:trPr>
          <w:cantSplit/>
          <w:tblHeader w:val="false"/>
        </w:trPr>
        <w:tc>
          <w:tcPr>
            <w:tcW w:type="dxa" w:w="45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7</w:t>
            </w:r>
          </w:p>
        </w:tc>
        <w:tc>
          <w:tcPr>
            <w:tcW w:type="dxa" w:w="5215"/>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Signalement des incohérences (</w:t>
            </w:r>
            <w:r>
              <w:rPr>
                <w:rFonts w:ascii="Consolas" w:cs="Consolas" w:eastAsia="Consolas" w:hAnsi="Consolas"/>
                <w:color w:val="1C5CAB"/>
                <w:sz w:val="19"/>
                <w:szCs w:val="19"/>
              </w:rPr>
              <w:t xml:space="preserve">xpremium &lt; petrol</w:t>
            </w:r>
            <w:r>
              <w:rPr>
                <w:sz w:val="20"/>
                <w:szCs w:val="20"/>
              </w:rPr>
              <w:t xml:space="preserve">)</w:t>
            </w:r>
          </w:p>
        </w:tc>
        <w:tc>
          <w:tcPr>
            <w:tcW w:type="dxa" w:w="340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41 lignes signalées (Chamoli), conservées</w:t>
            </w:r>
          </w:p>
        </w:tc>
      </w:tr>
      <w:tr>
        <w:trPr>
          <w:cantSplit/>
          <w:tblHeader w:val="false"/>
        </w:trPr>
        <w:tc>
          <w:tcPr>
            <w:tcW w:type="dxa" w:w="45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8</w:t>
            </w:r>
          </w:p>
        </w:tc>
        <w:tc>
          <w:tcPr>
            <w:tcW w:type="dxa" w:w="5215"/>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Création de l'identifiant unique </w:t>
            </w:r>
            <w:r>
              <w:rPr>
                <w:rFonts w:ascii="Consolas" w:cs="Consolas" w:eastAsia="Consolas" w:hAnsi="Consolas"/>
                <w:color w:val="1C5CAB"/>
                <w:sz w:val="19"/>
                <w:szCs w:val="19"/>
              </w:rPr>
              <w:t xml:space="preserve">city_id</w:t>
            </w:r>
            <w:r>
              <w:rPr>
                <w:sz w:val="20"/>
                <w:szCs w:val="20"/>
              </w:rPr>
              <w:t xml:space="preserve"> (ville + État)</w:t>
            </w:r>
          </w:p>
        </w:tc>
        <w:tc>
          <w:tcPr>
            <w:tcW w:type="dxa" w:w="340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695 villes uniques</w:t>
            </w:r>
          </w:p>
        </w:tc>
      </w:tr>
      <w:tr>
        <w:trPr>
          <w:cantSplit/>
          <w:tblHeader w:val="false"/>
        </w:trPr>
        <w:tc>
          <w:tcPr>
            <w:tcW w:type="dxa" w:w="45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9</w:t>
            </w:r>
          </w:p>
        </w:tc>
        <w:tc>
          <w:tcPr>
            <w:tcW w:type="dxa" w:w="5215"/>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Tri, réorganisation et export CSV (dates au format AAAA-MM-JJ)</w:t>
            </w:r>
          </w:p>
        </w:tc>
        <w:tc>
          <w:tcPr>
            <w:tcW w:type="dxa" w:w="340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41 398 lignes × 8 colonnes</w:t>
            </w:r>
          </w:p>
        </w:tc>
      </w:tr>
    </w:tbl>
    <w:p>
      <w:pPr>
        <w:spacing w:after="120"/>
      </w:pPr>
    </w:p>
    <w:p>
      <w:r>
        <w:t xml:space="preserve">Le script d'entraînement ajoute ensuite trois variables pour les modèles :</w:t>
      </w:r>
    </w:p>
    <w:p>
      <w:pPr>
        <w:pStyle w:val="ListParagraph"/>
        <w:numPr>
          <w:ilvl w:val="0"/>
          <w:numId w:val="4"/>
        </w:numPr>
        <w:spacing w:after="60"/>
      </w:pPr>
      <w:r>
        <w:rPr>
          <w:rFonts w:ascii="Consolas" w:cs="Consolas" w:eastAsia="Consolas" w:hAnsi="Consolas"/>
          <w:color w:val="1C5CAB"/>
          <w:sz w:val="19"/>
          <w:szCs w:val="19"/>
        </w:rPr>
        <w:t xml:space="preserve">jour</w:t>
      </w:r>
      <w:r>
        <w:t xml:space="preserve"> : nombre de jours depuis le 08/05/2024 (de 0 à 68) ;</w:t>
      </w:r>
    </w:p>
    <w:p>
      <w:pPr>
        <w:pStyle w:val="ListParagraph"/>
        <w:numPr>
          <w:ilvl w:val="0"/>
          <w:numId w:val="4"/>
        </w:numPr>
        <w:spacing w:after="60"/>
      </w:pPr>
      <w:r>
        <w:rPr>
          <w:rFonts w:ascii="Consolas" w:cs="Consolas" w:eastAsia="Consolas" w:hAnsi="Consolas"/>
          <w:color w:val="1C5CAB"/>
          <w:sz w:val="19"/>
          <w:szCs w:val="19"/>
        </w:rPr>
        <w:t xml:space="preserve">jour_semaine</w:t>
      </w:r>
      <w:r>
        <w:t xml:space="preserve"> : jour de la semaine (0 = lundi, 6 = dimanche) ;</w:t>
      </w:r>
    </w:p>
    <w:p>
      <w:pPr>
        <w:pStyle w:val="ListParagraph"/>
        <w:numPr>
          <w:ilvl w:val="0"/>
          <w:numId w:val="4"/>
        </w:numPr>
        <w:spacing w:after="60"/>
      </w:pPr>
      <w:r>
        <w:rPr>
          <w:rFonts w:ascii="Consolas" w:cs="Consolas" w:eastAsia="Consolas" w:hAnsi="Consolas"/>
          <w:color w:val="1C5CAB"/>
          <w:sz w:val="19"/>
          <w:szCs w:val="19"/>
        </w:rPr>
        <w:t xml:space="preserve">state_name</w:t>
      </w:r>
      <w:r>
        <w:t xml:space="preserve"> encodé en </w:t>
      </w:r>
      <w:r>
        <w:rPr>
          <w:b/>
          <w:bCs/>
        </w:rPr>
        <w:t xml:space="preserve">one-hot</w:t>
      </w:r>
      <w:r>
        <w:t xml:space="preserve"> : une colonne binaire par État.</w:t>
      </w:r>
    </w:p>
    <w:p>
      <w:pPr>
        <w:pStyle w:val="Heading2"/>
        <w:numPr>
          <w:ilvl w:val="1"/>
          <w:numId w:val="2"/>
        </w:numPr>
      </w:pPr>
      <w:r>
        <w:t xml:space="preserve">Qualité et limites</w:t>
      </w:r>
    </w:p>
    <w:p>
      <w:pPr>
        <w:pStyle w:val="ListParagraph"/>
        <w:numPr>
          <w:ilvl w:val="0"/>
          <w:numId w:val="4"/>
        </w:numPr>
        <w:spacing w:after="60"/>
      </w:pPr>
      <w:r>
        <w:rPr>
          <w:b/>
          <w:bCs/>
        </w:rPr>
        <w:t xml:space="preserve">Séries incomplètes</w:t>
      </w:r>
      <w:r>
        <w:t xml:space="preserve"> : selon les jours, entre 178 et 695 villes sont relevées (médiane : 611). Seules 22 villes ont une série complète sur les 69 jours.</w:t>
      </w:r>
    </w:p>
    <w:p>
      <w:pPr>
        <w:pStyle w:val="ListParagraph"/>
        <w:numPr>
          <w:ilvl w:val="0"/>
          <w:numId w:val="4"/>
        </w:numPr>
        <w:spacing w:after="60"/>
      </w:pPr>
      <w:r>
        <w:rPr>
          <w:b/>
          <w:bCs/>
        </w:rPr>
        <w:t xml:space="preserve">Noms de villes ambigus</w:t>
      </w:r>
      <w:r>
        <w:t xml:space="preserve"> : Bilaspur, Hamirpur et Pratapgarh existent dans deux États. Il faut toujours utiliser </w:t>
      </w:r>
      <w:r>
        <w:rPr>
          <w:rFonts w:ascii="Consolas" w:cs="Consolas" w:eastAsia="Consolas" w:hAnsi="Consolas"/>
          <w:color w:val="1C5CAB"/>
          <w:sz w:val="19"/>
          <w:szCs w:val="19"/>
        </w:rPr>
        <w:t xml:space="preserve">city_id</w:t>
      </w:r>
      <w:r>
        <w:t xml:space="preserve">.</w:t>
      </w:r>
    </w:p>
    <w:p>
      <w:pPr>
        <w:pStyle w:val="ListParagraph"/>
        <w:numPr>
          <w:ilvl w:val="0"/>
          <w:numId w:val="4"/>
        </w:numPr>
        <w:spacing w:after="60"/>
      </w:pPr>
      <w:r>
        <w:rPr>
          <w:b/>
          <w:bCs/>
        </w:rPr>
        <w:t xml:space="preserve">États absents</w:t>
      </w:r>
      <w:r>
        <w:t xml:space="preserve"> : Nagaland, Sikkim, Chandigarh, Dadra-et-Nagar-Haveli et Lakshadweep ne figurent pas dans le dataset.</w:t>
      </w:r>
    </w:p>
    <w:p>
      <w:pPr>
        <w:pStyle w:val="ListParagraph"/>
        <w:numPr>
          <w:ilvl w:val="0"/>
          <w:numId w:val="4"/>
        </w:numPr>
        <w:spacing w:after="60"/>
      </w:pPr>
      <w:r>
        <w:rPr>
          <w:b/>
          <w:bCs/>
        </w:rPr>
        <w:t xml:space="preserve">Période courte et stable</w:t>
      </w:r>
      <w:r>
        <w:t xml:space="preserve"> : les prix varient très peu sur les 69 jours.</w:t>
      </w:r>
    </w:p>
    <w:p>
      <w:pPr>
        <w:pStyle w:val="Heading2"/>
        <w:numPr>
          <w:ilvl w:val="1"/>
          <w:numId w:val="2"/>
        </w:numPr>
      </w:pPr>
      <w:r>
        <w:t xml:space="preserve">Analyse exploratoire : ce qui guide la modélisation</w:t>
      </w:r>
    </w:p>
    <w:p>
      <w:r>
        <w:t xml:space="preserve">Au niveau des villes, le prix de l'essence est corrélé à celui du diesel (corrélation de 0,76). Mais le nuage de points montre surtout des </w:t>
      </w:r>
      <w:r>
        <w:rPr>
          <w:b/>
          <w:bCs/>
        </w:rPr>
        <w:t xml:space="preserve">droites parallèles</w:t>
      </w:r>
      <w:r>
        <w:t xml:space="preserve"> : à l'intérieur d'un même État, l'essence et le diesel évoluent ensemble presque parfaitement. Il suffit donc de connaître l'État et le prix du diesel pour estimer précisément le prix de l'essence.</w:t>
      </w:r>
    </w:p>
    <w:p>
      <w:pPr>
        <w:keepNext/>
        <w:spacing w:after="0" w:before="120"/>
        <w:jc w:val="center"/>
      </w:pPr>
      <w:r>
        <w:drawing>
          <wp:inline distT="0" distB="0" distL="0" distR="0">
            <wp:extent cx="4476750" cy="3362325"/>
            <wp:effectExtent t="0" r="0" b="0" l="0"/>
            <wp:docPr id="1" name="Figure 4 – Prix moyen de l'essence et du diesel par ville (un point = une ville)" descr="Figure 4 – Prix moyen de l'essence et du diesel par ville (un point = une ville)" title="Figure 4 – Prix moyen de l'essence et du diesel par ville (un point = une v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362325"/>
                    </a:xfrm>
                    <a:prstGeom prst="rect">
                      <a:avLst/>
                    </a:prstGeom>
                  </pic:spPr>
                </pic:pic>
              </a:graphicData>
            </a:graphic>
          </wp:inline>
        </w:drawing>
      </w:r>
    </w:p>
    <w:p>
      <w:pPr>
        <w:pStyle w:val="Legende"/>
      </w:pPr>
      <w:r>
        <w:t xml:space="preserve">Figure 4 – Prix moyen de l'essence et du diesel par ville (un point = une ville)</w:t>
      </w:r>
    </w:p>
    <w:p>
      <w:r>
        <w:t xml:space="preserve">Comme toutes les villes ne sont pas relevées tous les jours, une simple moyenne journalière varierait selon les villes présentes. Le graphe ci-dessous mesure donc, pour chaque relevé, l'écart au prix habituel de sa ville. On observe une </w:t>
      </w:r>
      <w:r>
        <w:rPr>
          <w:b/>
          <w:bCs/>
        </w:rPr>
        <w:t xml:space="preserve">légère hausse d'environ 0,25 ₹ par litre</w:t>
      </w:r>
      <w:r>
        <w:t xml:space="preserve"> sur la période, identique pour les trois carburants.</w:t>
      </w:r>
    </w:p>
    <w:p>
      <w:pPr>
        <w:keepNext/>
        <w:spacing w:after="0" w:before="120"/>
        <w:jc w:val="center"/>
      </w:pPr>
      <w:r>
        <w:drawing>
          <wp:inline distT="0" distB="0" distL="0" distR="0">
            <wp:extent cx="5715000" cy="3714750"/>
            <wp:effectExtent t="0" r="0" b="0" l="0"/>
            <wp:docPr id="1" name="Figure 5 – Évolution des prix, corrigée de l'effet de composition, et nombre de villes relevées par jour" descr="Figure 5 – Évolution des prix, corrigée de l'effet de composition, et nombre de villes relevées par jour" title="Figure 5 – Évolution des prix, corrigée de l'effet de composition, et nombre de villes relevées par j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14750"/>
                    </a:xfrm>
                    <a:prstGeom prst="rect">
                      <a:avLst/>
                    </a:prstGeom>
                  </pic:spPr>
                </pic:pic>
              </a:graphicData>
            </a:graphic>
          </wp:inline>
        </w:drawing>
      </w:r>
    </w:p>
    <w:p>
      <w:pPr>
        <w:pStyle w:val="Legende"/>
      </w:pPr>
      <w:r>
        <w:t xml:space="preserve">Figure 5 – Évolution des prix, corrigée de l'effet de composition, et nombre de villes relevées par jour</w:t>
      </w:r>
    </w:p>
    <w:p>
      <w:pPr>
        <w:pStyle w:val="Heading1"/>
        <w:numPr>
          <w:ilvl w:val="0"/>
          <w:numId w:val="2"/>
        </w:numPr>
      </w:pPr>
      <w:r>
        <w:t xml:space="preserve">Modèle</w:t>
      </w:r>
    </w:p>
    <w:p>
      <w:pPr>
        <w:pStyle w:val="Heading2"/>
        <w:numPr>
          <w:ilvl w:val="1"/>
          <w:numId w:val="2"/>
        </w:numPr>
      </w:pPr>
      <w:r>
        <w:t xml:space="preserve">Problème et protocole d'évaluation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98"/>
        <w:gridCol w:w="6872"/>
      </w:tblGrid>
      <w:tr>
        <w:trPr>
          <w:cantSplit/>
          <w:tblHeader/>
        </w:trPr>
        <w:tc>
          <w:tcPr>
            <w:tcW w:type="dxa" w:w="2198"/>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Élément</w:t>
            </w:r>
          </w:p>
        </w:tc>
        <w:tc>
          <w:tcPr>
            <w:tcW w:type="dxa" w:w="6872"/>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Choix</w:t>
            </w:r>
          </w:p>
        </w:tc>
      </w:tr>
      <w:tr>
        <w:trPr>
          <w:cantSplit/>
          <w:tblHeader w:val="false"/>
        </w:trPr>
        <w:tc>
          <w:tcPr>
            <w:tcW w:type="dxa" w:w="2198"/>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Tâche</w:t>
            </w:r>
          </w:p>
        </w:tc>
        <w:tc>
          <w:tcPr>
            <w:tcW w:type="dxa" w:w="687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Régression : prédire </w:t>
            </w:r>
            <w:r>
              <w:rPr>
                <w:rFonts w:ascii="Consolas" w:cs="Consolas" w:eastAsia="Consolas" w:hAnsi="Consolas"/>
                <w:color w:val="1C5CAB"/>
                <w:sz w:val="19"/>
                <w:szCs w:val="19"/>
              </w:rPr>
              <w:t xml:space="preserve">petrol</w:t>
            </w:r>
            <w:r>
              <w:rPr>
                <w:sz w:val="20"/>
                <w:szCs w:val="20"/>
              </w:rPr>
              <w:t xml:space="preserve"> (₹ par litre)</w:t>
            </w:r>
          </w:p>
        </w:tc>
      </w:tr>
      <w:tr>
        <w:trPr>
          <w:cantSplit/>
          <w:tblHeader w:val="false"/>
        </w:trPr>
        <w:tc>
          <w:tcPr>
            <w:tcW w:type="dxa" w:w="2198"/>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Variables d'entrée</w:t>
            </w:r>
          </w:p>
        </w:tc>
        <w:tc>
          <w:tcPr>
            <w:tcW w:type="dxa" w:w="687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state_name</w:t>
            </w:r>
            <w:r>
              <w:rPr>
                <w:sz w:val="20"/>
                <w:szCs w:val="20"/>
              </w:rPr>
              <w:t xml:space="preserve"> (one-hot), </w:t>
            </w:r>
            <w:r>
              <w:rPr>
                <w:rFonts w:ascii="Consolas" w:cs="Consolas" w:eastAsia="Consolas" w:hAnsi="Consolas"/>
                <w:color w:val="1C5CAB"/>
                <w:sz w:val="19"/>
                <w:szCs w:val="19"/>
              </w:rPr>
              <w:t xml:space="preserve">diesel</w:t>
            </w:r>
            <w:r>
              <w:rPr>
                <w:sz w:val="20"/>
                <w:szCs w:val="20"/>
              </w:rPr>
              <w:t xml:space="preserve">, </w:t>
            </w:r>
            <w:r>
              <w:rPr>
                <w:rFonts w:ascii="Consolas" w:cs="Consolas" w:eastAsia="Consolas" w:hAnsi="Consolas"/>
                <w:color w:val="1C5CAB"/>
                <w:sz w:val="19"/>
                <w:szCs w:val="19"/>
              </w:rPr>
              <w:t xml:space="preserve">jour</w:t>
            </w:r>
            <w:r>
              <w:rPr>
                <w:sz w:val="20"/>
                <w:szCs w:val="20"/>
              </w:rPr>
              <w:t xml:space="preserve">, </w:t>
            </w:r>
            <w:r>
              <w:rPr>
                <w:rFonts w:ascii="Consolas" w:cs="Consolas" w:eastAsia="Consolas" w:hAnsi="Consolas"/>
                <w:color w:val="1C5CAB"/>
                <w:sz w:val="19"/>
                <w:szCs w:val="19"/>
              </w:rPr>
              <w:t xml:space="preserve">jour_semaine</w:t>
            </w:r>
          </w:p>
        </w:tc>
      </w:tr>
      <w:tr>
        <w:trPr>
          <w:cantSplit/>
          <w:tblHeader w:val="false"/>
        </w:trPr>
        <w:tc>
          <w:tcPr>
            <w:tcW w:type="dxa" w:w="2198"/>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Découpage train / test</w:t>
            </w:r>
          </w:p>
        </w:tc>
        <w:tc>
          <w:tcPr>
            <w:tcW w:type="dxa" w:w="687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80 % / 20 % </w:t>
            </w:r>
            <w:r>
              <w:rPr>
                <w:b/>
                <w:bCs/>
                <w:sz w:val="20"/>
                <w:szCs w:val="20"/>
              </w:rPr>
              <w:t xml:space="preserve">par ville</w:t>
            </w:r>
            <w:r>
              <w:rPr>
                <w:sz w:val="20"/>
                <w:szCs w:val="20"/>
              </w:rPr>
              <w:t xml:space="preserve"> (</w:t>
            </w:r>
            <w:r>
              <w:rPr>
                <w:rFonts w:ascii="Consolas" w:cs="Consolas" w:eastAsia="Consolas" w:hAnsi="Consolas"/>
                <w:color w:val="1C5CAB"/>
                <w:sz w:val="19"/>
                <w:szCs w:val="19"/>
              </w:rPr>
              <w:t xml:space="preserve">GroupShuffleSplit</w:t>
            </w:r>
            <w:r>
              <w:rPr>
                <w:sz w:val="20"/>
                <w:szCs w:val="20"/>
              </w:rPr>
              <w:t xml:space="preserve"> sur </w:t>
            </w:r>
            <w:r>
              <w:rPr>
                <w:rFonts w:ascii="Consolas" w:cs="Consolas" w:eastAsia="Consolas" w:hAnsi="Consolas"/>
                <w:color w:val="1C5CAB"/>
                <w:sz w:val="19"/>
                <w:szCs w:val="19"/>
              </w:rPr>
              <w:t xml:space="preserve">city_id</w:t>
            </w:r>
            <w:r>
              <w:rPr>
                <w:sz w:val="20"/>
                <w:szCs w:val="20"/>
              </w:rPr>
              <w:t xml:space="preserve">) : 33 054 lignes (556 villes) pour l'entraînement, 8 344 lignes (139 villes) pour le test</w:t>
            </w:r>
          </w:p>
        </w:tc>
      </w:tr>
      <w:tr>
        <w:trPr>
          <w:cantSplit/>
          <w:tblHeader w:val="false"/>
        </w:trPr>
        <w:tc>
          <w:tcPr>
            <w:tcW w:type="dxa" w:w="2198"/>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Sélection du modèle</w:t>
            </w:r>
          </w:p>
        </w:tc>
        <w:tc>
          <w:tcPr>
            <w:tcW w:type="dxa" w:w="687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Validation croisée à 5 folds, elle aussi groupée par ville (</w:t>
            </w:r>
            <w:r>
              <w:rPr>
                <w:rFonts w:ascii="Consolas" w:cs="Consolas" w:eastAsia="Consolas" w:hAnsi="Consolas"/>
                <w:color w:val="1C5CAB"/>
                <w:sz w:val="19"/>
                <w:szCs w:val="19"/>
              </w:rPr>
              <w:t xml:space="preserve">GroupKFold</w:t>
            </w:r>
            <w:r>
              <w:rPr>
                <w:sz w:val="20"/>
                <w:szCs w:val="20"/>
              </w:rPr>
              <w:t xml:space="preserve">), sur le jeu d'entraînement uniquement</w:t>
            </w:r>
          </w:p>
        </w:tc>
      </w:tr>
      <w:tr>
        <w:trPr>
          <w:cantSplit/>
          <w:tblHeader w:val="false"/>
        </w:trPr>
        <w:tc>
          <w:tcPr>
            <w:tcW w:type="dxa" w:w="2198"/>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Métrique principale</w:t>
            </w:r>
          </w:p>
        </w:tc>
        <w:tc>
          <w:tcPr>
            <w:tcW w:type="dxa" w:w="687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MAE : erreur moyenne absolue, en ₹ par litre</w:t>
            </w:r>
          </w:p>
        </w:tc>
      </w:tr>
      <w:tr>
        <w:trPr>
          <w:cantSplit/>
          <w:tblHeader w:val="false"/>
        </w:trPr>
        <w:tc>
          <w:tcPr>
            <w:tcW w:type="dxa" w:w="2198"/>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val="false"/>
              <w:spacing w:after="0" w:line="252" w:lineRule="auto"/>
              <w:jc w:val="left"/>
            </w:pPr>
            <w:r>
              <w:rPr>
                <w:b/>
                <w:bCs/>
                <w:sz w:val="20"/>
                <w:szCs w:val="20"/>
              </w:rPr>
              <w:t xml:space="preserve">Métriques secondaires</w:t>
            </w:r>
          </w:p>
        </w:tc>
        <w:tc>
          <w:tcPr>
            <w:tcW w:type="dxa" w:w="687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RMSE (pénalise les grosses erreurs) et R² (part de variance expliquée)</w:t>
            </w:r>
          </w:p>
        </w:tc>
      </w:tr>
    </w:tbl>
    <w:p>
      <w:pPr>
        <w:pStyle w:val="Remarque"/>
      </w:pPr>
      <w:r>
        <w:rPr>
          <w:b/>
          <w:bCs/>
        </w:rPr>
        <w:t xml:space="preserve">Pourquoi découper par ville ?</w:t>
      </w:r>
      <w:r>
        <w:t xml:space="preserve"> Une même ville a des prix quasi identiques d'un jour à l'autre. Avec un découpage aléatoire des lignes, le modèle verrait déjà la ville testée pendant l'entraînement, et le score serait trompeusement bon. Ici, les 139 villes du test n'ont jamais été vues par le modèle.</w:t>
      </w:r>
    </w:p>
    <w:p>
      <w:pPr>
        <w:pStyle w:val="Heading2"/>
        <w:numPr>
          <w:ilvl w:val="1"/>
          <w:numId w:val="2"/>
        </w:numPr>
      </w:pPr>
      <w:r>
        <w:t xml:space="preserve">Modèles comparés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73"/>
        <w:gridCol w:w="1374"/>
        <w:gridCol w:w="1374"/>
        <w:gridCol w:w="1374"/>
        <w:gridCol w:w="1375"/>
      </w:tblGrid>
      <w:tr>
        <w:trPr>
          <w:cantSplit/>
          <w:tblHeader/>
        </w:trPr>
        <w:tc>
          <w:tcPr>
            <w:tcW w:type="dxa" w:w="3573"/>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Modèle</w:t>
            </w:r>
          </w:p>
        </w:tc>
        <w:tc>
          <w:tcPr>
            <w:tcW w:type="dxa" w:w="1374"/>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MAE CV</w:t>
            </w:r>
          </w:p>
        </w:tc>
        <w:tc>
          <w:tcPr>
            <w:tcW w:type="dxa" w:w="1374"/>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MAE test</w:t>
            </w:r>
          </w:p>
        </w:tc>
        <w:tc>
          <w:tcPr>
            <w:tcW w:type="dxa" w:w="1374"/>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RMSE test</w:t>
            </w:r>
          </w:p>
        </w:tc>
        <w:tc>
          <w:tcPr>
            <w:tcW w:type="dxa" w:w="1375"/>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R² test</w:t>
            </w:r>
          </w:p>
        </w:tc>
      </w:tr>
      <w:tr>
        <w:trPr>
          <w:cantSplit/>
          <w:tblHeader w:val="false"/>
        </w:trPr>
        <w:tc>
          <w:tcPr>
            <w:tcW w:type="dxa" w:w="357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Baseline (prédit la moyenne)</w:t>
            </w:r>
          </w:p>
        </w:tc>
        <w:tc>
          <w:tcPr>
            <w:tcW w:type="dxa" w:w="137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4,593</w:t>
            </w:r>
          </w:p>
        </w:tc>
        <w:tc>
          <w:tcPr>
            <w:tcW w:type="dxa" w:w="137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4,700</w:t>
            </w:r>
          </w:p>
        </w:tc>
        <w:tc>
          <w:tcPr>
            <w:tcW w:type="dxa" w:w="137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5,324</w:t>
            </w:r>
          </w:p>
        </w:tc>
        <w:tc>
          <w:tcPr>
            <w:tcW w:type="dxa" w:w="1375"/>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−0,0178</w:t>
            </w:r>
          </w:p>
        </w:tc>
      </w:tr>
      <w:tr>
        <w:trPr>
          <w:cantSplit/>
          <w:tblHeader w:val="false"/>
        </w:trPr>
        <w:tc>
          <w:tcPr>
            <w:tcW w:type="dxa" w:w="357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b/>
                <w:bCs/>
                <w:sz w:val="20"/>
                <w:szCs w:val="20"/>
              </w:rPr>
              <w:t xml:space="preserve">Régression linéaire</w:t>
            </w:r>
          </w:p>
        </w:tc>
        <w:tc>
          <w:tcPr>
            <w:tcW w:type="dxa" w:w="137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b/>
                <w:bCs/>
                <w:sz w:val="20"/>
                <w:szCs w:val="20"/>
              </w:rPr>
              <w:t xml:space="preserve">0,053</w:t>
            </w:r>
          </w:p>
        </w:tc>
        <w:tc>
          <w:tcPr>
            <w:tcW w:type="dxa" w:w="137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b/>
                <w:bCs/>
                <w:sz w:val="20"/>
                <w:szCs w:val="20"/>
              </w:rPr>
              <w:t xml:space="preserve">0,052</w:t>
            </w:r>
          </w:p>
        </w:tc>
        <w:tc>
          <w:tcPr>
            <w:tcW w:type="dxa" w:w="137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b/>
                <w:bCs/>
                <w:sz w:val="20"/>
                <w:szCs w:val="20"/>
              </w:rPr>
              <w:t xml:space="preserve">0,125</w:t>
            </w:r>
          </w:p>
        </w:tc>
        <w:tc>
          <w:tcPr>
            <w:tcW w:type="dxa" w:w="1375"/>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b/>
                <w:bCs/>
                <w:sz w:val="20"/>
                <w:szCs w:val="20"/>
              </w:rPr>
              <w:t xml:space="preserve">0,9994</w:t>
            </w:r>
          </w:p>
        </w:tc>
      </w:tr>
      <w:tr>
        <w:trPr>
          <w:cantSplit/>
          <w:tblHeader w:val="false"/>
        </w:trPr>
        <w:tc>
          <w:tcPr>
            <w:tcW w:type="dxa" w:w="357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Random forest</w:t>
            </w:r>
          </w:p>
        </w:tc>
        <w:tc>
          <w:tcPr>
            <w:tcW w:type="dxa" w:w="137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0,181</w:t>
            </w:r>
          </w:p>
        </w:tc>
        <w:tc>
          <w:tcPr>
            <w:tcW w:type="dxa" w:w="137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0,203</w:t>
            </w:r>
          </w:p>
        </w:tc>
        <w:tc>
          <w:tcPr>
            <w:tcW w:type="dxa" w:w="137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0,699</w:t>
            </w:r>
          </w:p>
        </w:tc>
        <w:tc>
          <w:tcPr>
            <w:tcW w:type="dxa" w:w="1375"/>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0,9824</w:t>
            </w:r>
          </w:p>
        </w:tc>
      </w:tr>
      <w:tr>
        <w:trPr>
          <w:cantSplit/>
          <w:tblHeader w:val="false"/>
        </w:trPr>
        <w:tc>
          <w:tcPr>
            <w:tcW w:type="dxa" w:w="357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Gradient boosting</w:t>
            </w:r>
          </w:p>
        </w:tc>
        <w:tc>
          <w:tcPr>
            <w:tcW w:type="dxa" w:w="137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right"/>
            </w:pPr>
            <w:r>
              <w:rPr>
                <w:sz w:val="20"/>
                <w:szCs w:val="20"/>
              </w:rPr>
              <w:t xml:space="preserve">0,194</w:t>
            </w:r>
          </w:p>
        </w:tc>
        <w:tc>
          <w:tcPr>
            <w:tcW w:type="dxa" w:w="137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right"/>
            </w:pPr>
            <w:r>
              <w:rPr>
                <w:sz w:val="20"/>
                <w:szCs w:val="20"/>
              </w:rPr>
              <w:t xml:space="preserve">0,168</w:t>
            </w:r>
          </w:p>
        </w:tc>
        <w:tc>
          <w:tcPr>
            <w:tcW w:type="dxa" w:w="137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right"/>
            </w:pPr>
            <w:r>
              <w:rPr>
                <w:sz w:val="20"/>
                <w:szCs w:val="20"/>
              </w:rPr>
              <w:t xml:space="preserve">0,319</w:t>
            </w:r>
          </w:p>
        </w:tc>
        <w:tc>
          <w:tcPr>
            <w:tcW w:type="dxa" w:w="1375"/>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right"/>
            </w:pPr>
            <w:r>
              <w:rPr>
                <w:sz w:val="20"/>
                <w:szCs w:val="20"/>
              </w:rPr>
              <w:t xml:space="preserve">0,9963</w:t>
            </w:r>
          </w:p>
        </w:tc>
      </w:tr>
    </w:tbl>
    <w:p>
      <w:pPr>
        <w:spacing w:after="120"/>
      </w:pPr>
    </w:p>
    <w:p>
      <w:pPr>
        <w:keepNext/>
        <w:spacing w:after="0" w:before="120"/>
        <w:jc w:val="center"/>
      </w:pPr>
      <w:r>
        <w:drawing>
          <wp:inline distT="0" distB="0" distL="0" distR="0">
            <wp:extent cx="5715000" cy="2857500"/>
            <wp:effectExtent t="0" r="0" b="0" l="0"/>
            <wp:docPr id="1" name="Figure 6 – MAE moyenne en validation croisée (échelle logarithmique)" descr="Figure 6 – MAE moyenne en validation croisée (échelle logarithmique)" title="Figure 6 – MAE moyenne en validation croisée (échelle logarithm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57500"/>
                    </a:xfrm>
                    <a:prstGeom prst="rect">
                      <a:avLst/>
                    </a:prstGeom>
                  </pic:spPr>
                </pic:pic>
              </a:graphicData>
            </a:graphic>
          </wp:inline>
        </w:drawing>
      </w:r>
    </w:p>
    <w:p>
      <w:pPr>
        <w:pStyle w:val="Legende"/>
      </w:pPr>
      <w:r>
        <w:t xml:space="preserve">Figure 6 – MAE moyenne en validation croisée (échelle logarithmique)</w:t>
      </w:r>
    </w:p>
    <w:p>
      <w:r>
        <w:t xml:space="preserve">Le gradient boosting a une meilleure MAE sur le test que la random forest, alors que c'est l'inverse en validation croisée. Le choix se fait </w:t>
      </w:r>
      <w:r>
        <w:rPr>
          <w:b/>
          <w:bCs/>
        </w:rPr>
        <w:t xml:space="preserve">uniquement sur la validation croisée</w:t>
      </w:r>
      <w:r>
        <w:t xml:space="preserve"> : le jeu de test sert à confirmer la performance finale, pas à choisir le modèle.</w:t>
      </w:r>
    </w:p>
    <w:p>
      <w:pPr>
        <w:pStyle w:val="Heading2"/>
        <w:numPr>
          <w:ilvl w:val="1"/>
          <w:numId w:val="2"/>
        </w:numPr>
      </w:pPr>
      <w:r>
        <w:t xml:space="preserve">Meilleur modèle : la régression linéaire</w:t>
      </w:r>
    </w:p>
    <w:p>
      <w:r>
        <w:t xml:space="preserve">La régression linéaire est le meilleur modèle : sur des villes jamais vues, elle se trompe en moyenne de </w:t>
      </w:r>
      <w:r>
        <w:rPr>
          <w:b/>
          <w:bCs/>
        </w:rPr>
        <w:t xml:space="preserve">0,05 ₹ par litre</w:t>
      </w:r>
      <w:r>
        <w:t xml:space="preserve">, soit environ 0,05 % du prix. Elle bat les modèles à arbres parce que la relation réelle est linéaire : à l'intérieur d'un État, le prix de l'essence vaut à peu près une constante plus 1,06 fois le prix du diesel.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18"/>
        <w:gridCol w:w="1814"/>
        <w:gridCol w:w="4838"/>
      </w:tblGrid>
      <w:tr>
        <w:trPr>
          <w:cantSplit/>
          <w:tblHeader/>
        </w:trPr>
        <w:tc>
          <w:tcPr>
            <w:tcW w:type="dxa" w:w="2418"/>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Coefficient appris</w:t>
            </w:r>
          </w:p>
        </w:tc>
        <w:tc>
          <w:tcPr>
            <w:tcW w:type="dxa" w:w="1814"/>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Valeur</w:t>
            </w:r>
          </w:p>
        </w:tc>
        <w:tc>
          <w:tcPr>
            <w:tcW w:type="dxa" w:w="4838"/>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Interprétation</w:t>
            </w:r>
          </w:p>
        </w:tc>
      </w:tr>
      <w:tr>
        <w:trPr>
          <w:cantSplit/>
          <w:tblHeader w:val="false"/>
        </w:trPr>
        <w:tc>
          <w:tcPr>
            <w:tcW w:type="dxa" w:w="241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diesel</w:t>
            </w:r>
          </w:p>
        </w:tc>
        <w:tc>
          <w:tcPr>
            <w:tcW w:type="dxa" w:w="181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1,063</w:t>
            </w:r>
          </w:p>
        </w:tc>
        <w:tc>
          <w:tcPr>
            <w:tcW w:type="dxa" w:w="483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+1 ₹ de diesel donne +1,06 ₹ d'essence, à État égal</w:t>
            </w:r>
          </w:p>
        </w:tc>
      </w:tr>
      <w:tr>
        <w:trPr>
          <w:cantSplit/>
          <w:tblHeader w:val="false"/>
        </w:trPr>
        <w:tc>
          <w:tcPr>
            <w:tcW w:type="dxa" w:w="241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jour</w:t>
            </w:r>
          </w:p>
        </w:tc>
        <w:tc>
          <w:tcPr>
            <w:tcW w:type="dxa" w:w="181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−0,0001</w:t>
            </w:r>
          </w:p>
        </w:tc>
        <w:tc>
          <w:tcPr>
            <w:tcW w:type="dxa" w:w="483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Négligeable : la hausse dans le temps est déjà portée par le diesel</w:t>
            </w:r>
          </w:p>
        </w:tc>
      </w:tr>
      <w:tr>
        <w:trPr>
          <w:cantSplit/>
          <w:tblHeader w:val="false"/>
        </w:trPr>
        <w:tc>
          <w:tcPr>
            <w:tcW w:type="dxa" w:w="241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jour_semaine</w:t>
            </w:r>
          </w:p>
        </w:tc>
        <w:tc>
          <w:tcPr>
            <w:tcW w:type="dxa" w:w="181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 0</w:t>
            </w:r>
          </w:p>
        </w:tc>
        <w:tc>
          <w:tcPr>
            <w:tcW w:type="dxa" w:w="483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Aucun effet du jour de la semaine</w:t>
            </w:r>
          </w:p>
        </w:tc>
      </w:tr>
      <w:tr>
        <w:trPr>
          <w:cantSplit/>
          <w:tblHeader w:val="false"/>
        </w:trPr>
        <w:tc>
          <w:tcPr>
            <w:tcW w:type="dxa" w:w="241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rFonts w:ascii="Consolas" w:cs="Consolas" w:eastAsia="Consolas" w:hAnsi="Consolas"/>
                <w:color w:val="1C5CAB"/>
                <w:sz w:val="19"/>
                <w:szCs w:val="19"/>
              </w:rPr>
              <w:t xml:space="preserve">state_name</w:t>
            </w:r>
            <w:r>
              <w:rPr>
                <w:sz w:val="20"/>
                <w:szCs w:val="20"/>
              </w:rPr>
              <w:t xml:space="preserve"> (32 colonnes)</w:t>
            </w:r>
          </w:p>
        </w:tc>
        <w:tc>
          <w:tcPr>
            <w:tcW w:type="dxa" w:w="181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une constante par État</w:t>
            </w:r>
          </w:p>
        </w:tc>
        <w:tc>
          <w:tcPr>
            <w:tcW w:type="dxa" w:w="483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Écart propre à chaque État (taxes, transport)</w:t>
            </w:r>
          </w:p>
        </w:tc>
      </w:tr>
    </w:tbl>
    <w:p>
      <w:pPr>
        <w:spacing w:after="120"/>
      </w:pPr>
    </w:p>
    <w:p>
      <w:pPr>
        <w:keepNext/>
        <w:spacing w:after="0" w:before="120"/>
        <w:jc w:val="center"/>
      </w:pPr>
      <w:r>
        <w:drawing>
          <wp:inline distT="0" distB="0" distL="0" distR="0">
            <wp:extent cx="3810000" cy="3514725"/>
            <wp:effectExtent t="0" r="0" b="0" l="0"/>
            <wp:docPr id="1" name="Figure 7 – Prix prédit contre prix réel sur les 139 villes du test" descr="Figure 7 – Prix prédit contre prix réel sur les 139 villes du test" title="Figure 7 – Prix prédit contre prix réel sur les 139 villes du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3514725"/>
                    </a:xfrm>
                    <a:prstGeom prst="rect">
                      <a:avLst/>
                    </a:prstGeom>
                  </pic:spPr>
                </pic:pic>
              </a:graphicData>
            </a:graphic>
          </wp:inline>
        </w:drawing>
      </w:r>
    </w:p>
    <w:p>
      <w:pPr>
        <w:pStyle w:val="Legende"/>
      </w:pPr>
      <w:r>
        <w:t xml:space="preserve">Figure 7 – Prix prédit contre prix réel sur les 139 villes du test</w:t>
      </w:r>
    </w:p>
    <w:p>
      <w:pPr>
        <w:keepNext/>
      </w:pPr>
      <w:r>
        <w:t xml:space="preserve">Les erreurs les plus fortes sur le test concernent quelques États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46"/>
        <w:gridCol w:w="3024"/>
      </w:tblGrid>
      <w:tr>
        <w:trPr>
          <w:cantSplit/>
          <w:tblHeader/>
        </w:trPr>
        <w:tc>
          <w:tcPr>
            <w:tcW w:type="dxa" w:w="6046"/>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État</w:t>
            </w:r>
          </w:p>
        </w:tc>
        <w:tc>
          <w:tcPr>
            <w:tcW w:type="dxa" w:w="3024"/>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MAE test (₹/L)</w:t>
            </w:r>
          </w:p>
        </w:tc>
      </w:tr>
      <w:tr>
        <w:trPr>
          <w:cantSplit/>
          <w:tblHeader w:val="false"/>
        </w:trPr>
        <w:tc>
          <w:tcPr>
            <w:tcW w:type="dxa" w:w="604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Maharashtra</w:t>
            </w:r>
          </w:p>
        </w:tc>
        <w:tc>
          <w:tcPr>
            <w:tcW w:type="dxa" w:w="302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0,227</w:t>
            </w:r>
          </w:p>
        </w:tc>
      </w:tr>
      <w:tr>
        <w:trPr>
          <w:cantSplit/>
          <w:tblHeader w:val="false"/>
        </w:trPr>
        <w:tc>
          <w:tcPr>
            <w:tcW w:type="dxa" w:w="604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Mizoram</w:t>
            </w:r>
          </w:p>
        </w:tc>
        <w:tc>
          <w:tcPr>
            <w:tcW w:type="dxa" w:w="302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0,188</w:t>
            </w:r>
          </w:p>
        </w:tc>
      </w:tr>
      <w:tr>
        <w:trPr>
          <w:cantSplit/>
          <w:tblHeader w:val="false"/>
        </w:trPr>
        <w:tc>
          <w:tcPr>
            <w:tcW w:type="dxa" w:w="604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Jammu and Kashmir</w:t>
            </w:r>
          </w:p>
        </w:tc>
        <w:tc>
          <w:tcPr>
            <w:tcW w:type="dxa" w:w="302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0,162</w:t>
            </w:r>
          </w:p>
        </w:tc>
      </w:tr>
      <w:tr>
        <w:trPr>
          <w:cantSplit/>
          <w:tblHeader w:val="false"/>
        </w:trPr>
        <w:tc>
          <w:tcPr>
            <w:tcW w:type="dxa" w:w="604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Uttarakhand</w:t>
            </w:r>
          </w:p>
        </w:tc>
        <w:tc>
          <w:tcPr>
            <w:tcW w:type="dxa" w:w="302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right"/>
            </w:pPr>
            <w:r>
              <w:rPr>
                <w:sz w:val="20"/>
                <w:szCs w:val="20"/>
              </w:rPr>
              <w:t xml:space="preserve">0,122</w:t>
            </w:r>
          </w:p>
        </w:tc>
      </w:tr>
      <w:tr>
        <w:trPr>
          <w:cantSplit/>
          <w:tblHeader w:val="false"/>
        </w:trPr>
        <w:tc>
          <w:tcPr>
            <w:tcW w:type="dxa" w:w="604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Karnataka</w:t>
            </w:r>
          </w:p>
        </w:tc>
        <w:tc>
          <w:tcPr>
            <w:tcW w:type="dxa" w:w="302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right"/>
            </w:pPr>
            <w:r>
              <w:rPr>
                <w:sz w:val="20"/>
                <w:szCs w:val="20"/>
              </w:rPr>
              <w:t xml:space="preserve">0,089</w:t>
            </w:r>
          </w:p>
        </w:tc>
      </w:tr>
    </w:tbl>
    <w:p>
      <w:pPr>
        <w:spacing w:after="120"/>
      </w:pPr>
    </w:p>
    <w:p>
      <w:r>
        <w:t xml:space="preserve">Exemple d'utilisation : pour une ville de Delhi où le diesel est à 87,62 ₹, le modèle prédit 94,72 ₹ pour l'essence, ce qui correspond au prix réel.</w:t>
      </w:r>
    </w:p>
    <w:p>
      <w:pPr>
        <w:pStyle w:val="Code"/>
        <w:keepNext/>
        <w:keepLines/>
        <w:spacing w:after="0" w:before="80"/>
      </w:pPr>
      <w:r>
        <w:t xml:space="preserve">import joblib</w:t>
      </w:r>
    </w:p>
    <w:p>
      <w:pPr>
        <w:pStyle w:val="Code"/>
        <w:keepNext/>
        <w:keepLines/>
        <w:spacing w:after="0" w:before="0"/>
      </w:pPr>
      <w:r>
        <w:t xml:space="preserve">import pandas as pd</w:t>
      </w:r>
    </w:p>
    <w:p>
      <w:pPr>
        <w:pStyle w:val="Code"/>
        <w:keepNext/>
        <w:keepLines/>
        <w:spacing w:after="0" w:before="0"/>
      </w:pPr>
      <w:r>
        <w:t xml:space="preserve"> </w:t>
      </w:r>
    </w:p>
    <w:p>
      <w:pPr>
        <w:pStyle w:val="Code"/>
        <w:keepNext/>
        <w:keepLines/>
        <w:spacing w:after="0" w:before="0"/>
      </w:pPr>
      <w:r>
        <w:t xml:space="preserve">modele = joblib.load("models/regression_lineaire.joblib")</w:t>
      </w:r>
    </w:p>
    <w:p>
      <w:pPr>
        <w:pStyle w:val="Code"/>
        <w:keepNext/>
        <w:keepLines/>
        <w:spacing w:after="0" w:before="0"/>
      </w:pPr>
      <w:r>
        <w:t xml:space="preserve">exemple = pd.DataFrame([{"state_name": "Delhi", "diesel": 87.62,</w:t>
      </w:r>
    </w:p>
    <w:p>
      <w:pPr>
        <w:pStyle w:val="Code"/>
        <w:keepNext/>
        <w:keepLines/>
        <w:spacing w:after="0" w:before="0"/>
      </w:pPr>
      <w:r>
        <w:t xml:space="preserve">                         "jour": 30, "jour_semaine": 2}])</w:t>
      </w:r>
    </w:p>
    <w:p>
      <w:pPr>
        <w:pStyle w:val="Code"/>
        <w:keepNext w:val="false"/>
        <w:keepLines/>
        <w:spacing w:after="160" w:before="0"/>
      </w:pPr>
      <w:r>
        <w:t xml:space="preserve">print(modele.predict(exemple))   # [94.72...]</w:t>
      </w:r>
    </w:p>
    <w:p>
      <w:pPr>
        <w:pStyle w:val="Heading2"/>
        <w:numPr>
          <w:ilvl w:val="1"/>
          <w:numId w:val="2"/>
        </w:numPr>
      </w:pPr>
      <w:r>
        <w:t xml:space="preserve">Limites du modèle</w:t>
      </w:r>
    </w:p>
    <w:p>
      <w:pPr>
        <w:pStyle w:val="ListParagraph"/>
        <w:numPr>
          <w:ilvl w:val="0"/>
          <w:numId w:val="4"/>
        </w:numPr>
        <w:spacing w:after="60"/>
      </w:pPr>
      <w:r>
        <w:t xml:space="preserve">Le modèle a besoin du prix du diesel : sans lui, il ne peut rien prédire.</w:t>
      </w:r>
    </w:p>
    <w:p>
      <w:pPr>
        <w:pStyle w:val="ListParagraph"/>
        <w:numPr>
          <w:ilvl w:val="0"/>
          <w:numId w:val="4"/>
        </w:numPr>
        <w:spacing w:after="60"/>
      </w:pPr>
      <w:r>
        <w:t xml:space="preserve">Il a été entraîné sur environ 2 mois de prix stables : il ne sait pas prévoir l'avenir ni une hausse de taxes.</w:t>
      </w:r>
    </w:p>
    <w:p>
      <w:pPr>
        <w:pStyle w:val="ListParagraph"/>
        <w:numPr>
          <w:ilvl w:val="0"/>
          <w:numId w:val="4"/>
        </w:numPr>
        <w:spacing w:after="60"/>
      </w:pPr>
      <w:r>
        <w:t xml:space="preserve">Pour un État absent des données, la constante d'État est ignorée et la prédiction devient peu fiable.</w:t>
      </w:r>
    </w:p>
    <w:p>
      <w:pPr>
        <w:pStyle w:val="ListParagraph"/>
        <w:numPr>
          <w:ilvl w:val="0"/>
          <w:numId w:val="4"/>
        </w:numPr>
        <w:spacing w:after="60"/>
      </w:pPr>
      <w:r>
        <w:t xml:space="preserve">Les scores des modèles à arbres peuvent varier de quelques millièmes selon la version de scikit-learn. Ceux de la régression linéaire ne bougent pas.</w:t>
      </w:r>
    </w:p>
    <w:p>
      <w:pPr>
        <w:pStyle w:val="Heading2"/>
        <w:numPr>
          <w:ilvl w:val="1"/>
          <w:numId w:val="2"/>
        </w:numPr>
      </w:pPr>
      <w:r>
        <w:t xml:space="preserve">Model cards</w:t>
      </w:r>
    </w:p>
    <w:p>
      <w:r>
        <w:t xml:space="preserve">Chaque modèle a sa model card, générée automatiquement par </w:t>
      </w:r>
      <w:r>
        <w:rPr>
          <w:rFonts w:ascii="Consolas" w:cs="Consolas" w:eastAsia="Consolas" w:hAnsi="Consolas"/>
          <w:color w:val="1C5CAB"/>
          <w:sz w:val="19"/>
          <w:szCs w:val="19"/>
        </w:rPr>
        <w:t xml:space="preserve">src/04_generer_doc.py</w:t>
      </w:r>
      <w:r>
        <w:t xml:space="preserve">. Elle décrit l'usage prévu, les données, les performances, les hyperparamètres, les limites et un exemple d'utilisation :</w:t>
      </w:r>
    </w:p>
    <w:p>
      <w:pPr>
        <w:pStyle w:val="ListParagraph"/>
        <w:numPr>
          <w:ilvl w:val="0"/>
          <w:numId w:val="4"/>
        </w:numPr>
        <w:spacing w:after="60"/>
      </w:pPr>
      <w:hyperlink w:history="1" r:id="rIdmgz386jocy_vdlo7bgnu_">
        <w:r>
          <w:rPr>
            <w:rStyle w:val="Hyperlink"/>
            <w:color w:val="256ABF"/>
            <w:u w:val="single"/>
          </w:rPr>
          <w:t xml:space="preserve">regression_lineaire.md</w:t>
        </w:r>
      </w:hyperlink>
      <w:r>
        <w:t xml:space="preserve"> (</w:t>
      </w:r>
      <w:r>
        <w:rPr>
          <w:b/>
          <w:bCs/>
        </w:rPr>
        <w:t xml:space="preserve">modèle retenu</w:t>
      </w:r>
      <w:r>
        <w:t xml:space="preserve">)</w:t>
      </w:r>
    </w:p>
    <w:p>
      <w:pPr>
        <w:pStyle w:val="ListParagraph"/>
        <w:numPr>
          <w:ilvl w:val="0"/>
          <w:numId w:val="4"/>
        </w:numPr>
        <w:spacing w:after="60"/>
      </w:pPr>
      <w:hyperlink w:history="1" r:id="rIdrpn-d0ggzqkbd84tavrfr">
        <w:r>
          <w:rPr>
            <w:rStyle w:val="Hyperlink"/>
            <w:color w:val="256ABF"/>
            <w:u w:val="single"/>
          </w:rPr>
          <w:t xml:space="preserve">gradient_boosting.md</w:t>
        </w:r>
      </w:hyperlink>
    </w:p>
    <w:p>
      <w:pPr>
        <w:pStyle w:val="ListParagraph"/>
        <w:numPr>
          <w:ilvl w:val="0"/>
          <w:numId w:val="4"/>
        </w:numPr>
        <w:spacing w:after="60"/>
      </w:pPr>
      <w:hyperlink w:history="1" r:id="rId2wuptvhi86vas0mai8xxj">
        <w:r>
          <w:rPr>
            <w:rStyle w:val="Hyperlink"/>
            <w:color w:val="256ABF"/>
            <w:u w:val="single"/>
          </w:rPr>
          <w:t xml:space="preserve">random_forest.md</w:t>
        </w:r>
      </w:hyperlink>
    </w:p>
    <w:p>
      <w:pPr>
        <w:pStyle w:val="ListParagraph"/>
        <w:numPr>
          <w:ilvl w:val="0"/>
          <w:numId w:val="4"/>
        </w:numPr>
        <w:spacing w:after="60"/>
      </w:pPr>
      <w:hyperlink w:history="1" r:id="rIdmrzndk0qyvz86yhinnyvt">
        <w:r>
          <w:rPr>
            <w:rStyle w:val="Hyperlink"/>
            <w:color w:val="256ABF"/>
            <w:u w:val="single"/>
          </w:rPr>
          <w:t xml:space="preserve">baseline_moyenne.md</w:t>
        </w:r>
      </w:hyperlink>
    </w:p>
    <w:p>
      <w:pPr>
        <w:pStyle w:val="ListParagraph"/>
        <w:numPr>
          <w:ilvl w:val="0"/>
          <w:numId w:val="4"/>
        </w:numPr>
        <w:spacing w:after="60"/>
      </w:pPr>
      <w:r>
        <w:t xml:space="preserve">Synthèse : </w:t>
      </w:r>
      <w:hyperlink w:history="1" r:id="rIdo-mwxyus8nlxbyxzzt8vg">
        <w:r>
          <w:rPr>
            <w:rStyle w:val="Hyperlink"/>
            <w:color w:val="256ABF"/>
            <w:u w:val="single"/>
          </w:rPr>
          <w:t xml:space="preserve">generated/rapport_resultats.md</w:t>
        </w:r>
      </w:hyperlink>
    </w:p>
    <w:p>
      <w:pPr>
        <w:pStyle w:val="Heading1"/>
        <w:numPr>
          <w:ilvl w:val="0"/>
          <w:numId w:val="2"/>
        </w:numPr>
      </w:pPr>
      <w:r>
        <w:t xml:space="preserve">Présentation des scripts</w:t>
      </w:r>
    </w:p>
    <w:p>
      <w:pPr>
        <w:pStyle w:val="Heading2"/>
        <w:numPr>
          <w:ilvl w:val="1"/>
          <w:numId w:val="2"/>
        </w:numPr>
      </w:pPr>
      <w:r>
        <w:t xml:space="preserve">Vue d'ensemble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92"/>
        <w:gridCol w:w="2192"/>
        <w:gridCol w:w="3588"/>
        <w:gridCol w:w="898"/>
      </w:tblGrid>
      <w:tr>
        <w:trPr>
          <w:cantSplit/>
          <w:tblHeader/>
        </w:trPr>
        <w:tc>
          <w:tcPr>
            <w:tcW w:type="dxa" w:w="2392"/>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Script</w:t>
            </w:r>
          </w:p>
        </w:tc>
        <w:tc>
          <w:tcPr>
            <w:tcW w:type="dxa" w:w="2192"/>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Entrée</w:t>
            </w:r>
          </w:p>
        </w:tc>
        <w:tc>
          <w:tcPr>
            <w:tcW w:type="dxa" w:w="3588"/>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Sorties</w:t>
            </w:r>
          </w:p>
        </w:tc>
        <w:tc>
          <w:tcPr>
            <w:tcW w:type="dxa" w:w="898"/>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Durée*</w:t>
            </w:r>
          </w:p>
        </w:tc>
      </w:tr>
      <w:tr>
        <w:trPr>
          <w:cantSplit/>
          <w:tblHeader w:val="false"/>
        </w:trPr>
        <w:tc>
          <w:tcPr>
            <w:tcW w:type="dxa" w:w="239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src/01_nettoyage.py</w:t>
            </w:r>
          </w:p>
        </w:tc>
        <w:tc>
          <w:tcPr>
            <w:tcW w:type="dxa" w:w="219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data/raw/fuel_price_india.arff</w:t>
            </w:r>
          </w:p>
        </w:tc>
        <w:tc>
          <w:tcPr>
            <w:tcW w:type="dxa" w:w="358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data/processed/fuel_price_clean.csv</w:t>
            </w:r>
          </w:p>
        </w:tc>
        <w:tc>
          <w:tcPr>
            <w:tcW w:type="dxa" w:w="89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&lt; 5 s</w:t>
            </w:r>
          </w:p>
        </w:tc>
      </w:tr>
      <w:tr>
        <w:trPr>
          <w:cantSplit/>
          <w:tblHeader w:val="false"/>
        </w:trPr>
        <w:tc>
          <w:tcPr>
            <w:tcW w:type="dxa" w:w="239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src/02_graphes.py</w:t>
            </w:r>
          </w:p>
        </w:tc>
        <w:tc>
          <w:tcPr>
            <w:tcW w:type="dxa" w:w="219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CSV nettoyé</w:t>
            </w:r>
          </w:p>
        </w:tc>
        <w:tc>
          <w:tcPr>
            <w:tcW w:type="dxa" w:w="358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figures/01</w:t>
            </w:r>
            <w:r>
              <w:rPr>
                <w:sz w:val="20"/>
                <w:szCs w:val="20"/>
              </w:rPr>
              <w:t xml:space="preserve"> à </w:t>
            </w:r>
            <w:r>
              <w:rPr>
                <w:rFonts w:ascii="Consolas" w:cs="Consolas" w:eastAsia="Consolas" w:hAnsi="Consolas"/>
                <w:color w:val="1C5CAB"/>
                <w:sz w:val="19"/>
                <w:szCs w:val="19"/>
              </w:rPr>
              <w:t xml:space="preserve">04_*.png</w:t>
            </w:r>
          </w:p>
        </w:tc>
        <w:tc>
          <w:tcPr>
            <w:tcW w:type="dxa" w:w="89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&lt; 5 s</w:t>
            </w:r>
          </w:p>
        </w:tc>
      </w:tr>
      <w:tr>
        <w:trPr>
          <w:cantSplit/>
          <w:tblHeader w:val="false"/>
        </w:trPr>
        <w:tc>
          <w:tcPr>
            <w:tcW w:type="dxa" w:w="239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src/03_entrainement.py</w:t>
            </w:r>
          </w:p>
        </w:tc>
        <w:tc>
          <w:tcPr>
            <w:tcW w:type="dxa" w:w="219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CSV nettoyé</w:t>
            </w:r>
          </w:p>
        </w:tc>
        <w:tc>
          <w:tcPr>
            <w:tcW w:type="dxa" w:w="358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models/*.joblib</w:t>
            </w:r>
            <w:r>
              <w:rPr>
                <w:sz w:val="20"/>
                <w:szCs w:val="20"/>
              </w:rPr>
              <w:t xml:space="preserve">, </w:t>
            </w:r>
            <w:r>
              <w:rPr>
                <w:rFonts w:ascii="Consolas" w:cs="Consolas" w:eastAsia="Consolas" w:hAnsi="Consolas"/>
                <w:color w:val="1C5CAB"/>
                <w:sz w:val="19"/>
                <w:szCs w:val="19"/>
              </w:rPr>
              <w:t xml:space="preserve">models/metriques.json</w:t>
            </w:r>
            <w:r>
              <w:rPr>
                <w:sz w:val="20"/>
                <w:szCs w:val="20"/>
              </w:rPr>
              <w:t xml:space="preserve">, </w:t>
            </w:r>
            <w:r>
              <w:rPr>
                <w:rFonts w:ascii="Consolas" w:cs="Consolas" w:eastAsia="Consolas" w:hAnsi="Consolas"/>
                <w:color w:val="1C5CAB"/>
                <w:sz w:val="19"/>
                <w:szCs w:val="19"/>
              </w:rPr>
              <w:t xml:space="preserve">figures/05</w:t>
            </w:r>
            <w:r>
              <w:rPr>
                <w:sz w:val="20"/>
                <w:szCs w:val="20"/>
              </w:rPr>
              <w:t xml:space="preserve"> et </w:t>
            </w:r>
            <w:r>
              <w:rPr>
                <w:rFonts w:ascii="Consolas" w:cs="Consolas" w:eastAsia="Consolas" w:hAnsi="Consolas"/>
                <w:color w:val="1C5CAB"/>
                <w:sz w:val="19"/>
                <w:szCs w:val="19"/>
              </w:rPr>
              <w:t xml:space="preserve">06</w:t>
            </w:r>
          </w:p>
        </w:tc>
        <w:tc>
          <w:tcPr>
            <w:tcW w:type="dxa" w:w="89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20 à 60 s</w:t>
            </w:r>
          </w:p>
        </w:tc>
      </w:tr>
      <w:tr>
        <w:trPr>
          <w:cantSplit/>
          <w:tblHeader w:val="false"/>
        </w:trPr>
        <w:tc>
          <w:tcPr>
            <w:tcW w:type="dxa" w:w="239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src/04_generer_doc.py</w:t>
            </w:r>
          </w:p>
        </w:tc>
        <w:tc>
          <w:tcPr>
            <w:tcW w:type="dxa" w:w="219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models/metriques.json</w:t>
            </w:r>
          </w:p>
        </w:tc>
        <w:tc>
          <w:tcPr>
            <w:tcW w:type="dxa" w:w="358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docs/model_cards/*.md</w:t>
            </w:r>
            <w:r>
              <w:rPr>
                <w:sz w:val="20"/>
                <w:szCs w:val="20"/>
              </w:rPr>
              <w:t xml:space="preserve">, </w:t>
            </w:r>
            <w:r>
              <w:rPr>
                <w:rFonts w:ascii="Consolas" w:cs="Consolas" w:eastAsia="Consolas" w:hAnsi="Consolas"/>
                <w:color w:val="1C5CAB"/>
                <w:sz w:val="19"/>
                <w:szCs w:val="19"/>
              </w:rPr>
              <w:t xml:space="preserve">docs/generated/rapport_resultats.md</w:t>
            </w:r>
          </w:p>
        </w:tc>
        <w:tc>
          <w:tcPr>
            <w:tcW w:type="dxa" w:w="89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&lt; 1 s</w:t>
            </w:r>
          </w:p>
        </w:tc>
      </w:tr>
      <w:tr>
        <w:trPr>
          <w:cantSplit/>
          <w:tblHeader w:val="false"/>
        </w:trPr>
        <w:tc>
          <w:tcPr>
            <w:tcW w:type="dxa" w:w="239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rFonts w:ascii="Consolas" w:cs="Consolas" w:eastAsia="Consolas" w:hAnsi="Consolas"/>
                <w:color w:val="1C5CAB"/>
                <w:sz w:val="19"/>
                <w:szCs w:val="19"/>
              </w:rPr>
              <w:t xml:space="preserve">run_pipeline.py</w:t>
            </w:r>
          </w:p>
        </w:tc>
        <w:tc>
          <w:tcPr>
            <w:tcW w:type="dxa" w:w="219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w:t>
            </w:r>
          </w:p>
        </w:tc>
        <w:tc>
          <w:tcPr>
            <w:tcW w:type="dxa" w:w="358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Lance les 4 scripts dans l'ordre et s'arrête à la première erreur</w:t>
            </w:r>
          </w:p>
        </w:tc>
        <w:tc>
          <w:tcPr>
            <w:tcW w:type="dxa" w:w="89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30 s à 1 min</w:t>
            </w:r>
          </w:p>
        </w:tc>
      </w:tr>
    </w:tbl>
    <w:p>
      <w:pPr>
        <w:pStyle w:val="Legende"/>
      </w:pPr>
      <w:r>
        <w:rPr>
          <w:i/>
          <w:iCs/>
        </w:rPr>
        <w:t xml:space="preserve">Durées mesurées sur la machine de développement ; elles peuvent être plus longues sur un ordinateur portable.</w:t>
      </w:r>
    </w:p>
    <w:p>
      <w:pPr>
        <w:pStyle w:val="Heading2"/>
        <w:numPr>
          <w:ilvl w:val="1"/>
          <w:numId w:val="2"/>
        </w:numPr>
      </w:pPr>
      <w:r>
        <w:t xml:space="preserve">config.py : la configuration partagée</w:t>
      </w:r>
    </w:p>
    <w:p>
      <w:r>
        <w:t xml:space="preserve">Ce fichier ne fait aucun traitement : il définit les constantes utilisées par tous les scripts. Pour changer un chemin, la variable cible, la taille du jeu de test ou la graine aléatoire, on modifie uniquement ce fichier. Il fournit aussi </w:t>
      </w:r>
      <w:r>
        <w:rPr>
          <w:rFonts w:ascii="Consolas" w:cs="Consolas" w:eastAsia="Consolas" w:hAnsi="Consolas"/>
          <w:color w:val="1C5CAB"/>
          <w:sz w:val="19"/>
          <w:szCs w:val="19"/>
        </w:rPr>
        <w:t xml:space="preserve">creer_dossiers()</w:t>
      </w:r>
      <w:r>
        <w:t xml:space="preserve">, qui crée les dossiers de sortie s'ils n'existent pas.</w:t>
      </w:r>
    </w:p>
    <w:p>
      <w:pPr>
        <w:pStyle w:val="Heading2"/>
        <w:numPr>
          <w:ilvl w:val="1"/>
          <w:numId w:val="2"/>
        </w:numPr>
      </w:pPr>
      <w:r>
        <w:t xml:space="preserve">01_nettoyage.py : nettoyage des données</w:t>
      </w:r>
    </w:p>
    <w:p>
      <w:r>
        <w:t xml:space="preserve">Ce script lit le fichier ARFF avec un petit lecteur maison : les noms de colonnes sont lus dans les lignes </w:t>
      </w:r>
      <w:r>
        <w:rPr>
          <w:rFonts w:ascii="Consolas" w:cs="Consolas" w:eastAsia="Consolas" w:hAnsi="Consolas"/>
          <w:color w:val="1C5CAB"/>
          <w:sz w:val="19"/>
          <w:szCs w:val="19"/>
        </w:rPr>
        <w:t xml:space="preserve">@ATTRIBUTE</w:t>
      </w:r>
      <w:r>
        <w:t xml:space="preserve">, et les données dans la section </w:t>
      </w:r>
      <w:r>
        <w:rPr>
          <w:rFonts w:ascii="Consolas" w:cs="Consolas" w:eastAsia="Consolas" w:hAnsi="Consolas"/>
          <w:color w:val="1C5CAB"/>
          <w:sz w:val="19"/>
          <w:szCs w:val="19"/>
        </w:rPr>
        <w:t xml:space="preserve">@DATA</w:t>
      </w:r>
      <w:r>
        <w:t xml:space="preserve">. Il applique ensuite les 9 étapes décrites en partie 3. À chaque étape, il affiche un rapport chiffré, ce qui permet de vérifier son travail.</w:t>
      </w:r>
    </w:p>
    <w:p>
      <w:pPr>
        <w:pStyle w:val="Heading2"/>
        <w:numPr>
          <w:ilvl w:val="1"/>
          <w:numId w:val="2"/>
        </w:numPr>
      </w:pPr>
      <w:r>
        <w:t xml:space="preserve">02_graphes.py : graphes d'analyse</w:t>
      </w:r>
    </w:p>
    <w:p>
      <w:r>
        <w:t xml:space="preserve">Ce script produit 4 graphes PNG avec un style commun (fonction </w:t>
      </w:r>
      <w:r>
        <w:rPr>
          <w:rFonts w:ascii="Consolas" w:cs="Consolas" w:eastAsia="Consolas" w:hAnsi="Consolas"/>
          <w:color w:val="1C5CAB"/>
          <w:sz w:val="19"/>
          <w:szCs w:val="19"/>
        </w:rPr>
        <w:t xml:space="preserve">style_axes</w:t>
      </w:r>
      <w:r>
        <w:t xml:space="preserve">) et une palette lisible par les personnes daltoniennes, définie dans </w:t>
      </w:r>
      <w:r>
        <w:rPr>
          <w:rFonts w:ascii="Consolas" w:cs="Consolas" w:eastAsia="Consolas" w:hAnsi="Consolas"/>
          <w:color w:val="1C5CAB"/>
          <w:sz w:val="19"/>
          <w:szCs w:val="19"/>
        </w:rPr>
        <w:t xml:space="preserve">config.py</w:t>
      </w:r>
      <w:r>
        <w:t xml:space="preserve">. Chaque graphe correspond à une fonction : </w:t>
      </w:r>
      <w:r>
        <w:rPr>
          <w:rFonts w:ascii="Consolas" w:cs="Consolas" w:eastAsia="Consolas" w:hAnsi="Consolas"/>
          <w:color w:val="1C5CAB"/>
          <w:sz w:val="19"/>
          <w:szCs w:val="19"/>
        </w:rPr>
        <w:t xml:space="preserve">graphe_distribution</w:t>
      </w:r>
      <w:r>
        <w:t xml:space="preserve">, </w:t>
      </w:r>
      <w:r>
        <w:rPr>
          <w:rFonts w:ascii="Consolas" w:cs="Consolas" w:eastAsia="Consolas" w:hAnsi="Consolas"/>
          <w:color w:val="1C5CAB"/>
          <w:sz w:val="19"/>
          <w:szCs w:val="19"/>
        </w:rPr>
        <w:t xml:space="preserve">graphe_par_etat</w:t>
      </w:r>
      <w:r>
        <w:t xml:space="preserve">, </w:t>
      </w:r>
      <w:r>
        <w:rPr>
          <w:rFonts w:ascii="Consolas" w:cs="Consolas" w:eastAsia="Consolas" w:hAnsi="Consolas"/>
          <w:color w:val="1C5CAB"/>
          <w:sz w:val="19"/>
          <w:szCs w:val="19"/>
        </w:rPr>
        <w:t xml:space="preserve">graphe_essence_diesel</w:t>
      </w:r>
      <w:r>
        <w:t xml:space="preserve"> et </w:t>
      </w:r>
      <w:r>
        <w:rPr>
          <w:rFonts w:ascii="Consolas" w:cs="Consolas" w:eastAsia="Consolas" w:hAnsi="Consolas"/>
          <w:color w:val="1C5CAB"/>
          <w:sz w:val="19"/>
          <w:szCs w:val="19"/>
        </w:rPr>
        <w:t xml:space="preserve">graphe_evolution</w:t>
      </w:r>
      <w:r>
        <w:t xml:space="preserve">. Pour ajouter un graphe, il suffit d'écrire une nouvelle fonction et de l'appeler dans </w:t>
      </w:r>
      <w:r>
        <w:rPr>
          <w:rFonts w:ascii="Consolas" w:cs="Consolas" w:eastAsia="Consolas" w:hAnsi="Consolas"/>
          <w:color w:val="1C5CAB"/>
          <w:sz w:val="19"/>
          <w:szCs w:val="19"/>
        </w:rPr>
        <w:t xml:space="preserve">main()</w:t>
      </w:r>
      <w:r>
        <w:t xml:space="preserve">.</w:t>
      </w:r>
    </w:p>
    <w:p>
      <w:pPr>
        <w:pStyle w:val="Heading2"/>
        <w:numPr>
          <w:ilvl w:val="1"/>
          <w:numId w:val="2"/>
        </w:numPr>
      </w:pPr>
      <w:r>
        <w:t xml:space="preserve">03_entrainement.py : entraînement et export des modèles</w:t>
      </w:r>
    </w:p>
    <w:p>
      <w:pPr>
        <w:pStyle w:val="ListParagraph"/>
        <w:numPr>
          <w:ilvl w:val="0"/>
          <w:numId w:val="5"/>
        </w:numPr>
        <w:spacing w:after="80"/>
      </w:pPr>
      <w:r>
        <w:rPr>
          <w:rFonts w:ascii="Consolas" w:cs="Consolas" w:eastAsia="Consolas" w:hAnsi="Consolas"/>
          <w:color w:val="1C5CAB"/>
          <w:sz w:val="19"/>
          <w:szCs w:val="19"/>
        </w:rPr>
        <w:t xml:space="preserve">preparer_variables()</w:t>
      </w:r>
      <w:r>
        <w:t xml:space="preserve"> ajoute les variables </w:t>
      </w:r>
      <w:r>
        <w:rPr>
          <w:rFonts w:ascii="Consolas" w:cs="Consolas" w:eastAsia="Consolas" w:hAnsi="Consolas"/>
          <w:color w:val="1C5CAB"/>
          <w:sz w:val="19"/>
          <w:szCs w:val="19"/>
        </w:rPr>
        <w:t xml:space="preserve">jour</w:t>
      </w:r>
      <w:r>
        <w:t xml:space="preserve"> et </w:t>
      </w:r>
      <w:r>
        <w:rPr>
          <w:rFonts w:ascii="Consolas" w:cs="Consolas" w:eastAsia="Consolas" w:hAnsi="Consolas"/>
          <w:color w:val="1C5CAB"/>
          <w:sz w:val="19"/>
          <w:szCs w:val="19"/>
        </w:rPr>
        <w:t xml:space="preserve">jour_semaine</w:t>
      </w:r>
      <w:r>
        <w:t xml:space="preserve">.</w:t>
      </w:r>
    </w:p>
    <w:p>
      <w:pPr>
        <w:pStyle w:val="ListParagraph"/>
        <w:numPr>
          <w:ilvl w:val="0"/>
          <w:numId w:val="5"/>
        </w:numPr>
        <w:spacing w:after="80"/>
      </w:pPr>
      <w:r>
        <w:rPr>
          <w:rFonts w:ascii="Consolas" w:cs="Consolas" w:eastAsia="Consolas" w:hAnsi="Consolas"/>
          <w:color w:val="1C5CAB"/>
          <w:sz w:val="19"/>
          <w:szCs w:val="19"/>
        </w:rPr>
        <w:t xml:space="preserve">GroupShuffleSplit</w:t>
      </w:r>
      <w:r>
        <w:t xml:space="preserve"> sépare les villes du train et celles du test.</w:t>
      </w:r>
    </w:p>
    <w:p>
      <w:pPr>
        <w:pStyle w:val="ListParagraph"/>
        <w:numPr>
          <w:ilvl w:val="0"/>
          <w:numId w:val="5"/>
        </w:numPr>
        <w:spacing w:after="80"/>
      </w:pPr>
      <w:r>
        <w:rPr>
          <w:rFonts w:ascii="Consolas" w:cs="Consolas" w:eastAsia="Consolas" w:hAnsi="Consolas"/>
          <w:color w:val="1C5CAB"/>
          <w:sz w:val="19"/>
          <w:szCs w:val="19"/>
        </w:rPr>
        <w:t xml:space="preserve">creer_modeles()</w:t>
      </w:r>
      <w:r>
        <w:t xml:space="preserve"> définit les 4 modèles. Chacun est un </w:t>
      </w:r>
      <w:r>
        <w:rPr>
          <w:rFonts w:ascii="Consolas" w:cs="Consolas" w:eastAsia="Consolas" w:hAnsi="Consolas"/>
          <w:color w:val="1C5CAB"/>
          <w:sz w:val="19"/>
          <w:szCs w:val="19"/>
        </w:rPr>
        <w:t xml:space="preserve">Pipeline</w:t>
      </w:r>
      <w:r>
        <w:t xml:space="preserve"> scikit-learn : encodage one-hot de l'État, puis régresseur. Le prétraitement est donc sauvegardé avec le modèle.</w:t>
      </w:r>
    </w:p>
    <w:p>
      <w:pPr>
        <w:pStyle w:val="ListParagraph"/>
        <w:numPr>
          <w:ilvl w:val="0"/>
          <w:numId w:val="5"/>
        </w:numPr>
        <w:spacing w:after="80"/>
      </w:pPr>
      <w:r>
        <w:t xml:space="preserve">Pour chaque modèle : validation croisée </w:t>
      </w:r>
      <w:r>
        <w:rPr>
          <w:rFonts w:ascii="Consolas" w:cs="Consolas" w:eastAsia="Consolas" w:hAnsi="Consolas"/>
          <w:color w:val="1C5CAB"/>
          <w:sz w:val="19"/>
          <w:szCs w:val="19"/>
        </w:rPr>
        <w:t xml:space="preserve">GroupKFold</w:t>
      </w:r>
      <w:r>
        <w:t xml:space="preserve"> à 5 folds, réentraînement sur tout le train, évaluation sur le test, sauvegarde en </w:t>
      </w:r>
      <w:r>
        <w:rPr>
          <w:rFonts w:ascii="Consolas" w:cs="Consolas" w:eastAsia="Consolas" w:hAnsi="Consolas"/>
          <w:color w:val="1C5CAB"/>
          <w:sz w:val="19"/>
          <w:szCs w:val="19"/>
        </w:rPr>
        <w:t xml:space="preserve">.joblib</w:t>
      </w:r>
      <w:r>
        <w:t xml:space="preserve">.</w:t>
      </w:r>
    </w:p>
    <w:p>
      <w:pPr>
        <w:pStyle w:val="ListParagraph"/>
        <w:numPr>
          <w:ilvl w:val="0"/>
          <w:numId w:val="5"/>
        </w:numPr>
        <w:spacing w:after="80"/>
      </w:pPr>
      <w:r>
        <w:t xml:space="preserve">Choix du meilleur modèle (plus petite MAE en validation croisée), puis création des figures 05 et 06.</w:t>
      </w:r>
    </w:p>
    <w:p>
      <w:pPr>
        <w:pStyle w:val="ListParagraph"/>
        <w:numPr>
          <w:ilvl w:val="0"/>
          <w:numId w:val="5"/>
        </w:numPr>
        <w:spacing w:after="80"/>
      </w:pPr>
      <w:r>
        <w:t xml:space="preserve">Écriture de </w:t>
      </w:r>
      <w:r>
        <w:rPr>
          <w:rFonts w:ascii="Consolas" w:cs="Consolas" w:eastAsia="Consolas" w:hAnsi="Consolas"/>
          <w:color w:val="1C5CAB"/>
          <w:sz w:val="19"/>
          <w:szCs w:val="19"/>
        </w:rPr>
        <w:t xml:space="preserve">models/metriques.json</w:t>
      </w:r>
      <w:r>
        <w:t xml:space="preserve"> : scores, hyperparamètres, découpage, versions des bibliothèques et erreur par État.</w:t>
      </w:r>
    </w:p>
    <w:p>
      <w:r>
        <w:t xml:space="preserve">Pour ajouter un modèle, il suffit d'ajouter une entrée au dictionnaire renvoyé par </w:t>
      </w:r>
      <w:r>
        <w:rPr>
          <w:rFonts w:ascii="Consolas" w:cs="Consolas" w:eastAsia="Consolas" w:hAnsi="Consolas"/>
          <w:color w:val="1C5CAB"/>
          <w:sz w:val="19"/>
          <w:szCs w:val="19"/>
        </w:rPr>
        <w:t xml:space="preserve">creer_modeles()</w:t>
      </w:r>
      <w:r>
        <w:t xml:space="preserve">. Il sera évalué, sauvegardé et documenté automatiquement.</w:t>
      </w:r>
    </w:p>
    <w:p>
      <w:pPr>
        <w:pStyle w:val="Heading2"/>
        <w:numPr>
          <w:ilvl w:val="1"/>
          <w:numId w:val="2"/>
        </w:numPr>
      </w:pPr>
      <w:r>
        <w:t xml:space="preserve">04_generer_doc.py : génération de la documentation</w:t>
      </w:r>
    </w:p>
    <w:p>
      <w:r>
        <w:t xml:space="preserve">Ce script lit </w:t>
      </w:r>
      <w:r>
        <w:rPr>
          <w:rFonts w:ascii="Consolas" w:cs="Consolas" w:eastAsia="Consolas" w:hAnsi="Consolas"/>
          <w:color w:val="1C5CAB"/>
          <w:sz w:val="19"/>
          <w:szCs w:val="19"/>
        </w:rPr>
        <w:t xml:space="preserve">metriques.json</w:t>
      </w:r>
      <w:r>
        <w:t xml:space="preserve"> et écrit une model card Markdown par modèle, ainsi qu'un rapport de synthèse avec le tableau comparatif et les figures. Les textes descriptifs de chaque modèle sont dans le dictionnaire </w:t>
      </w:r>
      <w:r>
        <w:rPr>
          <w:rFonts w:ascii="Consolas" w:cs="Consolas" w:eastAsia="Consolas" w:hAnsi="Consolas"/>
          <w:color w:val="1C5CAB"/>
          <w:sz w:val="19"/>
          <w:szCs w:val="19"/>
        </w:rPr>
        <w:t xml:space="preserve">DESCRIPTIONS</w:t>
      </w:r>
      <w:r>
        <w:t xml:space="preserve">. S'il manque </w:t>
      </w:r>
      <w:r>
        <w:rPr>
          <w:rFonts w:ascii="Consolas" w:cs="Consolas" w:eastAsia="Consolas" w:hAnsi="Consolas"/>
          <w:color w:val="1C5CAB"/>
          <w:sz w:val="19"/>
          <w:szCs w:val="19"/>
        </w:rPr>
        <w:t xml:space="preserve">metriques.json</w:t>
      </w:r>
      <w:r>
        <w:t xml:space="preserve">, le script s'arrête avec un message qui indique de lancer d'abord l'entraînement.</w:t>
      </w:r>
    </w:p>
    <w:p>
      <w:pPr>
        <w:pStyle w:val="Heading2"/>
        <w:numPr>
          <w:ilvl w:val="1"/>
          <w:numId w:val="2"/>
        </w:numPr>
      </w:pPr>
      <w:r>
        <w:t xml:space="preserve">run_pipeline.py : tout lancer d'un coup</w:t>
      </w:r>
    </w:p>
    <w:p>
      <w:r>
        <w:t xml:space="preserve">Ce script exécute les 4 étapes avec le même interpréteur Python (</w:t>
      </w:r>
      <w:r>
        <w:rPr>
          <w:rFonts w:ascii="Consolas" w:cs="Consolas" w:eastAsia="Consolas" w:hAnsi="Consolas"/>
          <w:color w:val="1C5CAB"/>
          <w:sz w:val="19"/>
          <w:szCs w:val="19"/>
        </w:rPr>
        <w:t xml:space="preserve">sys.executable</w:t>
      </w:r>
      <w:r>
        <w:t xml:space="preserve">), donc avec l'environnement virtuel actif. Il s'arrête dès qu'une étape échoue.</w:t>
      </w:r>
    </w:p>
    <w:p>
      <w:pPr>
        <w:pStyle w:val="Code"/>
        <w:keepNext w:val="false"/>
        <w:keepLines/>
        <w:spacing w:after="160" w:before="80"/>
      </w:pPr>
      <w:r>
        <w:t xml:space="preserve">python run_pipeline.py</w:t>
      </w:r>
    </w:p>
    <w:p>
      <w:pPr>
        <w:pStyle w:val="Heading1"/>
        <w:numPr>
          <w:ilvl w:val="0"/>
          <w:numId w:val="2"/>
        </w:numPr>
      </w:pPr>
      <w:r>
        <w:t xml:space="preserve">Annexes</w:t>
      </w:r>
    </w:p>
    <w:p>
      <w:pPr>
        <w:pStyle w:val="Heading2"/>
        <w:numPr>
          <w:ilvl w:val="1"/>
          <w:numId w:val="2"/>
        </w:numPr>
      </w:pPr>
      <w:r>
        <w:t xml:space="preserve">Glossaire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4"/>
        <w:gridCol w:w="7086"/>
      </w:tblGrid>
      <w:tr>
        <w:trPr>
          <w:cantSplit/>
          <w:tblHeader/>
        </w:trPr>
        <w:tc>
          <w:tcPr>
            <w:tcW w:type="dxa" w:w="1984"/>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Terme</w:t>
            </w:r>
          </w:p>
        </w:tc>
        <w:tc>
          <w:tcPr>
            <w:tcW w:type="dxa" w:w="7086"/>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Définition</w:t>
            </w:r>
          </w:p>
        </w:tc>
      </w:tr>
      <w:tr>
        <w:trPr>
          <w:cantSplit/>
          <w:tblHeader w:val="false"/>
        </w:trPr>
        <w:tc>
          <w:tcPr>
            <w:tcW w:type="dxa" w:w="1984"/>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ARFF</w:t>
            </w:r>
          </w:p>
        </w:tc>
        <w:tc>
          <w:tcPr>
            <w:tcW w:type="dxa" w:w="708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Format de fichier texte de l'outil Weka : un en-tête qui décrit les colonnes, puis les données en CSV</w:t>
            </w:r>
          </w:p>
        </w:tc>
      </w:tr>
      <w:tr>
        <w:trPr>
          <w:cantSplit/>
          <w:tblHeader w:val="false"/>
        </w:trPr>
        <w:tc>
          <w:tcPr>
            <w:tcW w:type="dxa" w:w="1984"/>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Datacard</w:t>
            </w:r>
          </w:p>
        </w:tc>
        <w:tc>
          <w:tcPr>
            <w:tcW w:type="dxa" w:w="708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Fiche d'identité d'un dataset : contenu, origine, qualité, limites, usages</w:t>
            </w:r>
          </w:p>
        </w:tc>
      </w:tr>
      <w:tr>
        <w:trPr>
          <w:cantSplit/>
          <w:tblHeader w:val="false"/>
        </w:trPr>
        <w:tc>
          <w:tcPr>
            <w:tcW w:type="dxa" w:w="1984"/>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Model card</w:t>
            </w:r>
          </w:p>
        </w:tc>
        <w:tc>
          <w:tcPr>
            <w:tcW w:type="dxa" w:w="708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Fiche d'identité d'un modèle : usage prévu, données, performances, limites</w:t>
            </w:r>
          </w:p>
        </w:tc>
      </w:tr>
      <w:tr>
        <w:trPr>
          <w:cantSplit/>
          <w:tblHeader w:val="false"/>
        </w:trPr>
        <w:tc>
          <w:tcPr>
            <w:tcW w:type="dxa" w:w="1984"/>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MAE</w:t>
            </w:r>
          </w:p>
        </w:tc>
        <w:tc>
          <w:tcPr>
            <w:tcW w:type="dxa" w:w="708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Mean Absolute Error : moyenne des écarts absolus entre prédiction et réalité</w:t>
            </w:r>
          </w:p>
        </w:tc>
      </w:tr>
      <w:tr>
        <w:trPr>
          <w:cantSplit/>
          <w:tblHeader w:val="false"/>
        </w:trPr>
        <w:tc>
          <w:tcPr>
            <w:tcW w:type="dxa" w:w="1984"/>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RMSE</w:t>
            </w:r>
          </w:p>
        </w:tc>
        <w:tc>
          <w:tcPr>
            <w:tcW w:type="dxa" w:w="708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Root Mean Squared Error : racine de la moyenne des écarts au carré (pénalise les grosses erreurs)</w:t>
            </w:r>
          </w:p>
        </w:tc>
      </w:tr>
      <w:tr>
        <w:trPr>
          <w:cantSplit/>
          <w:tblHeader w:val="false"/>
        </w:trPr>
        <w:tc>
          <w:tcPr>
            <w:tcW w:type="dxa" w:w="1984"/>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R²</w:t>
            </w:r>
          </w:p>
        </w:tc>
        <w:tc>
          <w:tcPr>
            <w:tcW w:type="dxa" w:w="708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Part de la variance de la cible expliquée par le modèle (1 = parfait, 0 = pas mieux que la moyenne)</w:t>
            </w:r>
          </w:p>
        </w:tc>
      </w:tr>
      <w:tr>
        <w:trPr>
          <w:cantSplit/>
          <w:tblHeader w:val="false"/>
        </w:trPr>
        <w:tc>
          <w:tcPr>
            <w:tcW w:type="dxa" w:w="1984"/>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Validation croisée</w:t>
            </w:r>
          </w:p>
        </w:tc>
        <w:tc>
          <w:tcPr>
            <w:tcW w:type="dxa" w:w="708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Découpage du train en k parties : on entraîne sur k−1 parties et on évalue sur la dernière, k fois</w:t>
            </w:r>
          </w:p>
        </w:tc>
      </w:tr>
      <w:tr>
        <w:trPr>
          <w:cantSplit/>
          <w:tblHeader w:val="false"/>
        </w:trPr>
        <w:tc>
          <w:tcPr>
            <w:tcW w:type="dxa" w:w="1984"/>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One-hot</w:t>
            </w:r>
          </w:p>
        </w:tc>
        <w:tc>
          <w:tcPr>
            <w:tcW w:type="dxa" w:w="708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Encodage d'une variable catégorielle en une colonne binaire par catégorie</w:t>
            </w:r>
          </w:p>
        </w:tc>
      </w:tr>
      <w:tr>
        <w:trPr>
          <w:cantSplit/>
          <w:tblHeader w:val="false"/>
        </w:trPr>
        <w:tc>
          <w:tcPr>
            <w:tcW w:type="dxa" w:w="1984"/>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val="false"/>
              <w:spacing w:after="0" w:line="252" w:lineRule="auto"/>
              <w:jc w:val="left"/>
            </w:pPr>
            <w:r>
              <w:rPr>
                <w:b/>
                <w:bCs/>
                <w:sz w:val="20"/>
                <w:szCs w:val="20"/>
              </w:rPr>
              <w:t xml:space="preserve">Baseline</w:t>
            </w:r>
          </w:p>
        </w:tc>
        <w:tc>
          <w:tcPr>
            <w:tcW w:type="dxa" w:w="708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Modèle de référence très simple, que tout vrai modèle doit battre</w:t>
            </w:r>
          </w:p>
        </w:tc>
      </w:tr>
    </w:tbl>
    <w:p>
      <w:pPr>
        <w:pStyle w:val="Heading2"/>
        <w:numPr>
          <w:ilvl w:val="1"/>
          <w:numId w:val="2"/>
        </w:numPr>
      </w:pPr>
      <w:r>
        <w:t xml:space="preserve">Versions utilisées</w:t>
      </w:r>
    </w:p>
    <w:p>
      <w:r>
        <w:t xml:space="preserve">Pipeline testé avec Python 3.11, pandas 3.0, scikit-learn 1.8 et 1.9, matplotlib 3.10 et 3.11. Versions minimales requises : voir </w:t>
      </w:r>
      <w:r>
        <w:rPr>
          <w:rFonts w:ascii="Consolas" w:cs="Consolas" w:eastAsia="Consolas" w:hAnsi="Consolas"/>
          <w:color w:val="1C5CAB"/>
          <w:sz w:val="19"/>
          <w:szCs w:val="19"/>
        </w:rPr>
        <w:t xml:space="preserve">requirements.txt</w:t>
      </w:r>
      <w:r>
        <w:t xml:space="preserve">.</w:t>
      </w:r>
    </w:p>
    <w:sectPr>
      <w:headerReference w:type="default" r:id="rId7"/>
      <w:headerReference w:type="first" r:id="rId8"/>
      <w:footerReference w:type="default" r:id="rId9"/>
      <w:footerReference w:type="first" r:id="rId10"/>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Bdr>
        <w:top w:val="single" w:color="DDDCD7" w:sz="4" w:space="4"/>
      </w:pBdr>
      <w:tabs>
        <w:tab w:val="right" w:pos="9070"/>
      </w:tabs>
    </w:pPr>
    <w:r>
      <w:rPr>
        <w:color w:val="52514E"/>
        <w:sz w:val="18"/>
        <w:szCs w:val="18"/>
      </w:rPr>
      <w:t xml:space="preserve">Documentation technique – version 1.0</w:t>
    </w:r>
    <w:r>
      <w:rPr>
        <w:color w:val="52514E"/>
        <w:sz w:val="18"/>
        <w:szCs w:val="18"/>
      </w:rPr>
      <w:t xml:space="preserve">	Page </w:t>
    </w:r>
    <w:r>
      <w:rPr>
        <w:color w:val="52514E"/>
        <w:sz w:val="18"/>
        <w:szCs w:val="18"/>
      </w:rPr>
      <w:fldChar w:fldCharType="begin"/>
      <w:instrText xml:space="preserve">PAGE</w:instrText>
      <w:fldChar w:fldCharType="separate"/>
      <w:fldChar w:fldCharType="end"/>
    </w:r>
    <w:r>
      <w:rPr>
        <w:color w:val="52514E"/>
        <w:sz w:val="18"/>
        <w:szCs w:val="18"/>
      </w:rPr>
      <w:t xml:space="preserve"> sur </w:t>
    </w:r>
    <w:r>
      <w:rPr>
        <w:color w:val="52514E"/>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pBdr>
        <w:bottom w:val="single" w:color="DDDCD7" w:sz="4" w:space="4"/>
      </w:pBdr>
      <w:tabs>
        <w:tab w:val="right" w:pos="9070"/>
      </w:tabs>
    </w:pPr>
    <w:r>
      <w:rPr>
        <w:color w:val="52514E"/>
        <w:sz w:val="18"/>
        <w:szCs w:val="18"/>
      </w:rPr>
      <w:t xml:space="preserve">Documentation technique</w:t>
    </w:r>
    <w:r>
      <w:rPr>
        <w:b/>
        <w:bCs/>
        <w:color w:val="2A78D6"/>
        <w:sz w:val="18"/>
        <w:szCs w:val="18"/>
      </w:rPr>
      <w:t xml:space="preserve">	Fuel Price India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pStyle w:val="Heading1"/>
      <w:suff w:val="space"/>
      <w:lvlText w:val="Partie %1 –"/>
      <w:lvlJc w:val="left"/>
    </w:lvl>
    <w:lvl w:ilvl="1" w15:tentative="1">
      <w:start w:val="1"/>
      <w:numFmt w:val="decimal"/>
      <w:pStyle w:val="Heading2"/>
      <w:suff w:val="space"/>
      <w:lvlText w:val="%1.%2"/>
      <w:lvlJc w:val="left"/>
    </w:lvl>
    <w:lvl w:ilvl="2" w15:tentative="1">
      <w:start w:val="1"/>
      <w:numFmt w:val="decimal"/>
      <w:pStyle w:val="Heading3"/>
      <w:suff w:val="space"/>
      <w:lvlText w:val="%1.%2.%3"/>
      <w:lvlJc w:val="left"/>
    </w:lvl>
  </w:abstractNum>
  <w:abstractNum w:abstractNumId="3"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4"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numPr>
        <w:ilvl w:val="0"/>
        <w:numId w:val="2"/>
      </w:numPr>
      <w:pBdr>
        <w:bottom w:val="single" w:color="2A78D6" w:sz="12" w:space="6"/>
      </w:pBdr>
      <w:spacing w:after="240" w:before="120"/>
      <w:outlineLvl w:val="0"/>
    </w:pPr>
    <w:rPr>
      <w:rFonts w:ascii="Calibri" w:cs="Calibri" w:eastAsia="Calibri" w:hAnsi="Calibri"/>
      <w:b/>
      <w:bCs/>
      <w:color w:val="184F95"/>
      <w:sz w:val="34"/>
      <w:szCs w:val="34"/>
    </w:rPr>
  </w:style>
  <w:style w:type="paragraph" w:styleId="Heading2">
    <w:name w:val="Heading 2"/>
    <w:basedOn w:val="Normal"/>
    <w:next w:val="Normal"/>
    <w:qFormat/>
    <w:pPr>
      <w:keepNext/>
      <w:keepLines/>
      <w:numPr>
        <w:ilvl w:val="1"/>
        <w:numId w:val="2"/>
      </w:numPr>
      <w:spacing w:after="120" w:before="320"/>
      <w:outlineLvl w:val="1"/>
    </w:pPr>
    <w:rPr>
      <w:rFonts w:ascii="Calibri" w:cs="Calibri" w:eastAsia="Calibri" w:hAnsi="Calibri"/>
      <w:b/>
      <w:bCs/>
      <w:color w:val="2A78D6"/>
      <w:sz w:val="27"/>
      <w:szCs w:val="27"/>
    </w:rPr>
  </w:style>
  <w:style w:type="paragraph" w:styleId="Heading3">
    <w:name w:val="Heading 3"/>
    <w:basedOn w:val="Normal"/>
    <w:next w:val="Normal"/>
    <w:qFormat/>
    <w:pPr>
      <w:keepNext/>
      <w:keepLines/>
      <w:numPr>
        <w:ilvl w:val="2"/>
        <w:numId w:val="2"/>
      </w:numPr>
      <w:spacing w:after="80" w:before="220"/>
      <w:outlineLvl w:val="2"/>
    </w:pPr>
    <w:rPr>
      <w:rFonts w:ascii="Calibri" w:cs="Calibri" w:eastAsia="Calibri" w:hAnsi="Calibri"/>
      <w:b/>
      <w:bCs/>
      <w:color w:val="184F95"/>
      <w:sz w:val="23"/>
      <w:szCs w:val="23"/>
    </w:rPr>
  </w:style>
  <w:style w:type="paragraph" w:styleId="TitreHorsSommaire">
    <w:name w:val="Titre hors sommaire"/>
    <w:basedOn w:val="Normal"/>
    <w:next w:val="Normal"/>
    <w:qFormat/>
    <w:pPr>
      <w:keepNext/>
      <w:spacing w:after="200" w:before="120"/>
    </w:pPr>
    <w:rPr>
      <w:rFonts w:ascii="Calibri" w:cs="Calibri" w:eastAsia="Calibri" w:hAnsi="Calibri"/>
      <w:b/>
      <w:bCs/>
      <w:color w:val="184F95"/>
      <w:sz w:val="30"/>
      <w:szCs w:val="30"/>
    </w:rPr>
  </w:style>
  <w:style w:type="paragraph" w:styleId="Code">
    <w:name w:val="Code"/>
    <w:basedOn w:val="Normal"/>
    <w:qFormat/>
    <w:pPr>
      <w:shd w:fill="F4F4F2" w:color="auto" w:val="clear"/>
      <w:spacing w:after="0" w:before="0" w:line="240" w:lineRule="auto"/>
      <w:ind w:left="170" w:right="170"/>
    </w:pPr>
    <w:rPr>
      <w:rFonts w:ascii="Consolas" w:cs="Consolas" w:eastAsia="Consolas" w:hAnsi="Consolas"/>
      <w:color w:val="0B0B0B"/>
      <w:sz w:val="18"/>
      <w:szCs w:val="18"/>
    </w:rPr>
  </w:style>
  <w:style w:type="paragraph" w:styleId="Remarque">
    <w:name w:val="Remarque"/>
    <w:basedOn w:val="Normal"/>
    <w:qFormat/>
    <w:pPr>
      <w:pBdr>
        <w:left w:val="single" w:color="2A78D6" w:sz="24" w:space="8"/>
      </w:pBdr>
      <w:shd w:fill="E3EEFB" w:color="auto" w:val="clear"/>
      <w:spacing w:after="160" w:before="120"/>
      <w:ind w:left="170" w:right="170"/>
    </w:pPr>
    <w:rPr>
      <w:sz w:val="21"/>
      <w:szCs w:val="21"/>
    </w:rPr>
  </w:style>
  <w:style w:type="paragraph" w:styleId="Brouillon">
    <w:name w:val="Brouillon"/>
    <w:basedOn w:val="Normal"/>
    <w:qFormat/>
    <w:rPr>
      <w:i/>
      <w:iCs/>
      <w:color w:val="8A8984"/>
    </w:rPr>
  </w:style>
  <w:style w:type="paragraph" w:styleId="Legende">
    <w:name w:val="Légende figure"/>
    <w:basedOn w:val="Normal"/>
    <w:qFormat/>
    <w:pPr>
      <w:spacing w:after="240" w:before="60"/>
      <w:jc w:val="center"/>
    </w:pPr>
    <w:rPr>
      <w:i/>
      <w:iCs/>
      <w:color w:val="52514E"/>
      <w:sz w:val="18"/>
      <w:szCs w:val="18"/>
    </w:rPr>
  </w:style>
  <w:style w:type="paragraph" w:styleId="Header">
    <w:name w:val="header"/>
    <w:basedOn w:val="Normal"/>
    <w:pPr>
      <w:spacing w:after="0"/>
    </w:pPr>
    <w:rPr>
      <w:color w:val="52514E"/>
      <w:sz w:val="18"/>
      <w:szCs w:val="18"/>
    </w:rPr>
  </w:style>
  <w:style w:type="paragraph" w:styleId="Footer">
    <w:name w:val="footer"/>
    <w:basedOn w:val="Normal"/>
    <w:pPr>
      <w:spacing w:after="0"/>
    </w:pPr>
    <w:rPr>
      <w:color w:val="52514E"/>
      <w:sz w:val="18"/>
      <w:szCs w:val="18"/>
    </w:rPr>
  </w:style>
  <w:style w:type="paragraph" w:styleId="TOC1">
    <w:name w:val="toc 1"/>
    <w:basedOn w:val="Normal"/>
    <w:next w:val="Normal"/>
    <w:pPr>
      <w:spacing w:after="20" w:before="80"/>
    </w:pPr>
    <w:rPr>
      <w:b/>
      <w:bCs/>
      <w:color w:val="184F95"/>
    </w:rPr>
  </w:style>
  <w:style w:type="paragraph" w:styleId="TOC2">
    <w:name w:val="toc 2"/>
    <w:basedOn w:val="Normal"/>
    <w:next w:val="Normal"/>
    <w:pPr>
      <w:spacing w:after="10"/>
      <w:ind w:left="360"/>
    </w:pPr>
  </w:style>
  <w:style w:type="paragraph" w:styleId="TOC3">
    <w:name w:val="toc 3"/>
    <w:basedOn w:val="Normal"/>
    <w:next w:val="Normal"/>
    <w:pPr>
      <w:spacing w:after="10"/>
      <w:ind w:left="720"/>
    </w:pPr>
    <w:rPr>
      <w:color w:val="52514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bg7wvvrp3bwcnzc8vozyk" Type="http://schemas.openxmlformats.org/officeDocument/2006/relationships/hyperlink" Target="datacards/fuel_price_datacard.md" TargetMode="External"/><Relationship Id="rIddirmrlqezbfsgajy5sb7h" Type="http://schemas.openxmlformats.org/officeDocument/2006/relationships/hyperlink" Target="explication_nettoyage.md" TargetMode="External"/><Relationship Id="rIdmgz386jocy_vdlo7bgnu_" Type="http://schemas.openxmlformats.org/officeDocument/2006/relationships/hyperlink" Target="model_cards/regression_lineaire.md" TargetMode="External"/><Relationship Id="rIdrpn-d0ggzqkbd84tavrfr" Type="http://schemas.openxmlformats.org/officeDocument/2006/relationships/hyperlink" Target="model_cards/gradient_boosting.md" TargetMode="External"/><Relationship Id="rId2wuptvhi86vas0mai8xxj" Type="http://schemas.openxmlformats.org/officeDocument/2006/relationships/hyperlink" Target="model_cards/random_forest.md" TargetMode="External"/><Relationship Id="rIdmrzndk0qyvz86yhinnyvt" Type="http://schemas.openxmlformats.org/officeDocument/2006/relationships/hyperlink" Target="model_cards/baseline_moyenne.md" TargetMode="External"/><Relationship Id="rIdo-mwxyus8nlxbyxzzt8vg" Type="http://schemas.openxmlformats.org/officeDocument/2006/relationships/hyperlink" Target="generated/rapport_resultats.md" TargetMode="External"/><Relationship Id="rId11" Type="http://schemas.openxmlformats.org/officeDocument/2006/relationships/image" Target="media/b977a2d6be8738c62d19993c072b708b69a98330.png"/><Relationship Id="rId12" Type="http://schemas.openxmlformats.org/officeDocument/2006/relationships/image" Target="media/2934e0fa8f47f589fbfaca33a2c4725d3661b0f1.png"/><Relationship Id="rId13" Type="http://schemas.openxmlformats.org/officeDocument/2006/relationships/image" Target="media/080e782de7e048402beaaf0f2fcb81ab86b0778a.png"/><Relationship Id="rId14" Type="http://schemas.openxmlformats.org/officeDocument/2006/relationships/image" Target="media/54b304919ece0ad76b74ff6800e7a6c0208cff24.png"/><Relationship Id="rId15" Type="http://schemas.openxmlformats.org/officeDocument/2006/relationships/image" Target="media/be6f0bb58436ea9807d40e0be270b8040579e3e1.png"/><Relationship Id="rId16" Type="http://schemas.openxmlformats.org/officeDocument/2006/relationships/image" Target="media/c42f122788d9b048a48d09049fceaade6fa19e37.png"/><Relationship Id="rId17" Type="http://schemas.openxmlformats.org/officeDocument/2006/relationships/image" Target="media/4c2fd1218a944381dd6df12142081134790f649d.png"/><Relationship Id="rId25" Type="http://schemas.openxmlformats.org/officeDocument/2006/relationships/fontTable" Target="fontTable.xml"/><Relationship Id="rIdTheme1" Type="http://schemas.openxmlformats.org/officeDocument/2006/relationships/theme" Target="theme/theme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Fuel Price India">
      <a:dk1>
        <a:sysClr val="windowText" lastClr="000000"/>
      </a:dk1>
      <a:lt1>
        <a:sysClr val="window" lastClr="FFFFFF"/>
      </a:lt1>
      <a:dk2>
        <a:srgbClr val="184F95"/>
      </a:dk2>
      <a:lt2>
        <a:srgbClr val="F4F4F2"/>
      </a:lt2>
      <a:accent1>
        <a:srgbClr val="2A78D6"/>
      </a:accent1>
      <a:accent2>
        <a:srgbClr val="EB6834"/>
      </a:accent2>
      <a:accent3>
        <a:srgbClr val="1BAF7A"/>
      </a:accent3>
      <a:accent4>
        <a:srgbClr val="EDA100"/>
      </a:accent4>
      <a:accent5>
        <a:srgbClr val="4A3AA7"/>
      </a:accent5>
      <a:accent6>
        <a:srgbClr val="E34948"/>
      </a:accent6>
      <a:hlink>
        <a:srgbClr val="256ABF"/>
      </a:hlink>
      <a:folHlink>
        <a:srgbClr val="4A3AA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dc:title>
  <dc:subject>Fuel Price India : du fichier brut au modèle de prédiction du prix de l'essence</dc:subject>
  <dc:creator>Louis Denis</dc:creator>
  <dc:description>Documentation technique</dc:description>
  <cp:lastModifiedBy>Un-named</cp:lastModifiedBy>
  <cp:revision>1</cp:revision>
  <dcterms:created xsi:type="dcterms:W3CDTF">2026-10-02T10:14:50.195Z</dcterms:created>
  <dcterms:modified xsi:type="dcterms:W3CDTF">2026-10-02T10:14:50.196Z</dcterms:modified>
</cp:coreProperties>
</file>

<file path=docProps/custom.xml><?xml version="1.0" encoding="utf-8"?>
<Properties xmlns="http://schemas.openxmlformats.org/officeDocument/2006/custom-properties" xmlns:vt="http://schemas.openxmlformats.org/officeDocument/2006/docPropsVTypes"/>
</file>