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CBT流派分析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C20260620001</w:t>
        <w:br/>
      </w:r>
      <w:r>
        <w:rPr>
          <w:b/>
        </w:rPr>
        <w:t>案例概要：</w:t>
      </w:r>
      <w:r>
        <w:t>高二女生确诊重度抑郁症+焦虑症，伴有双相情感障碍发展倾向、幻听幻影、严重进食障碍（厌食+催吐）、频繁抑郁躯体化、自伤行为。咨询师使用了多种技术（情绪承接、赋能、隐喻、重新框架），其中'我是国王'隐喻对幻听处理有创新性。触及了家庭动力核心（父母情感忽视）。但咨询师自评'说教太多'，对社交融入的建议过于空泛。案例涉及精神病性症状和严重自伤风险，处于生命危险级别（L级）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