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人本主义流派分析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C20260620002</w:t>
        <w:br/>
      </w:r>
      <w:r>
        <w:rPr>
          <w:b/>
        </w:rPr>
        <w:t>案例概要：</w:t>
      </w:r>
      <w:r>
        <w:t>女企业主确诊抑郁症+焦虑症，更年期叠加，已休息两个月，有轻生想法但无明确计划。主要压力来自账目收不回、时代变化快、不想学习。咨询师使用了'内在小孩'理论进行重新框架，强调动力枯竭是新课题，建议让理性满足内在小孩需求而非外界需求。咨询师有两处自我质疑：1）建议'去厂里看看'过于直接；2）建议'休息半年'担心经营风险。案主用'更年期'作为保护壳。危机等级M（中度），需持续跟进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