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FF0000"/>
        </w:rPr>
        <w:t>案例概要：</w:t>
      </w:r>
      <w:r>
        <w:rPr>
          <w:color w:val="FF0000"/>
          <w:highlight w:val="red"/>
        </w:rPr>
        <w:t>14岁女孩的同伴来电求助</w:t>
      </w:r>
    </w:p>
    <w:p>
      <w:r>
        <w:rPr>
          <w:b/>
          <w:color w:val="0000FF"/>
        </w:rPr>
        <w:t>相关标签：</w:t>
      </w:r>
      <w:r>
        <w:rPr>
          <w:color w:val="0000FF"/>
        </w:rPr>
        <w:t>社交关系-友谊-危机干预</w:t>
      </w:r>
    </w:p>
    <w:p>
      <w:r>
        <w:rPr>
          <w:b/>
        </w:rPr>
        <w:t>危机评估：</w:t>
      </w:r>
      <w:r>
        <w:rPr>
          <w:highlight w:val="yellow"/>
        </w:rPr>
        <w:t>证据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