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C4B1">
      <w:pPr>
        <w:pStyle w:val="2"/>
        <w:spacing w:before="102" w:line="173" w:lineRule="auto"/>
        <w:ind w:left="0" w:leftChars="0" w:firstLine="0" w:firstLineChars="0"/>
        <w:jc w:val="left"/>
        <w:outlineLvl w:val="0"/>
        <w:rPr>
          <w:sz w:val="45"/>
          <w:szCs w:val="45"/>
        </w:rPr>
      </w:pPr>
      <w:r>
        <w:rPr>
          <w:b/>
          <w:bCs/>
          <w:spacing w:val="-11"/>
          <w:sz w:val="45"/>
          <w:szCs w:val="45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31750</wp:posOffset>
            </wp:positionV>
            <wp:extent cx="914400" cy="1280160"/>
            <wp:effectExtent l="0" t="0" r="0" b="0"/>
            <wp:wrapNone/>
            <wp:docPr id="1" name="图片 1" descr="DSC_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SC_0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1"/>
          <w:sz w:val="45"/>
          <w:szCs w:val="45"/>
        </w:rPr>
        <w:t>吴先生</w:t>
      </w:r>
    </w:p>
    <w:p w14:paraId="0444B809">
      <w:pPr>
        <w:pStyle w:val="2"/>
        <w:spacing w:before="165" w:line="197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4"/>
        </w:rPr>
        <w:t>男 | 年龄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：3</w:t>
      </w:r>
      <w:r>
        <w:rPr>
          <w:rFonts w:hint="eastAsia"/>
          <w:color w:val="333333"/>
          <w:spacing w:val="-4"/>
          <w:lang w:val="en-US" w:eastAsia="zh-CN"/>
        </w:rPr>
        <w:t>6</w:t>
      </w:r>
      <w:r>
        <w:rPr>
          <w:color w:val="333333"/>
          <w:spacing w:val="-4"/>
        </w:rPr>
        <w:t>岁 | 籍贯：</w:t>
      </w:r>
      <w:r>
        <w:rPr>
          <w:rFonts w:hint="eastAsia"/>
          <w:color w:val="333333"/>
          <w:spacing w:val="-4"/>
          <w:lang w:val="en-US" w:eastAsia="zh-CN"/>
        </w:rPr>
        <w:t>云南</w:t>
      </w:r>
      <w:r>
        <w:rPr>
          <w:color w:val="333333"/>
          <w:spacing w:val="-4"/>
        </w:rPr>
        <w:t>保山 | 非党员 |</w:t>
      </w:r>
      <w:r>
        <w:rPr>
          <w:color w:val="333333"/>
          <w:spacing w:val="-13"/>
        </w:rPr>
        <w:t xml:space="preserve"> </w:t>
      </w:r>
      <w:r>
        <w:rPr>
          <w:position w:val="-6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 xml:space="preserve">  </w:t>
      </w:r>
      <w:r>
        <w:rPr>
          <w:rFonts w:hint="eastAsia"/>
          <w:color w:val="333333"/>
          <w:spacing w:val="-4"/>
        </w:rPr>
        <w:t>15198177</w:t>
      </w:r>
      <w:r>
        <w:rPr>
          <w:rFonts w:hint="eastAsia"/>
          <w:color w:val="333333"/>
          <w:spacing w:val="-4"/>
          <w:lang w:val="en-US" w:eastAsia="zh-CN"/>
        </w:rPr>
        <w:t>410</w:t>
      </w:r>
    </w:p>
    <w:p w14:paraId="30454C60">
      <w:pPr>
        <w:pStyle w:val="2"/>
        <w:spacing w:before="108" w:line="178" w:lineRule="auto"/>
        <w:ind w:left="0" w:leftChars="0" w:firstLine="0" w:firstLineChars="0"/>
        <w:jc w:val="left"/>
        <w:rPr>
          <w:color w:val="333333"/>
          <w:spacing w:val="-1"/>
        </w:rPr>
      </w:pPr>
      <w:r>
        <w:rPr>
          <w:color w:val="333333"/>
          <w:spacing w:val="-1"/>
        </w:rPr>
        <w:t xml:space="preserve">10年工作经验 | 求职意向：财务总监/财务经理 | </w:t>
      </w:r>
    </w:p>
    <w:p w14:paraId="39A66412">
      <w:pPr>
        <w:pStyle w:val="2"/>
        <w:spacing w:before="108" w:line="178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1"/>
        </w:rPr>
        <w:t>期望薪资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：</w:t>
      </w:r>
      <w:r>
        <w:rPr>
          <w:rFonts w:hint="eastAsia"/>
          <w:color w:val="333333"/>
          <w:spacing w:val="-1"/>
          <w:lang w:val="en-US" w:eastAsia="zh-CN"/>
        </w:rPr>
        <w:t>20</w:t>
      </w:r>
      <w:bookmarkStart w:id="0" w:name="_GoBack"/>
      <w:bookmarkEnd w:id="0"/>
      <w:r>
        <w:rPr>
          <w:color w:val="333333"/>
          <w:spacing w:val="-1"/>
        </w:rPr>
        <w:t>-</w:t>
      </w:r>
      <w:r>
        <w:rPr>
          <w:rFonts w:hint="eastAsia"/>
          <w:color w:val="333333"/>
          <w:spacing w:val="-1"/>
          <w:lang w:val="en-US" w:eastAsia="zh-CN"/>
        </w:rPr>
        <w:t>30</w:t>
      </w:r>
      <w:r>
        <w:rPr>
          <w:color w:val="333333"/>
          <w:spacing w:val="-1"/>
        </w:rPr>
        <w:t>K | 期望城市：</w:t>
      </w:r>
      <w:r>
        <w:rPr>
          <w:rFonts w:hint="eastAsia"/>
          <w:color w:val="333333"/>
          <w:spacing w:val="-1"/>
          <w:lang w:val="en-US" w:eastAsia="zh-CN"/>
        </w:rPr>
        <w:t xml:space="preserve">珠三角 </w:t>
      </w:r>
      <w:r>
        <w:rPr>
          <w:color w:val="333333"/>
          <w:spacing w:val="-1"/>
        </w:rPr>
        <w:t>|</w:t>
      </w:r>
      <w:r>
        <w:rPr>
          <w:rFonts w:hint="eastAsia"/>
          <w:color w:val="333333"/>
          <w:spacing w:val="-1"/>
          <w:lang w:val="en-US" w:eastAsia="zh-CN"/>
        </w:rPr>
        <w:t xml:space="preserve"> 邮箱：1072385074@qq.com</w:t>
      </w:r>
    </w:p>
    <w:p w14:paraId="259BB089">
      <w:pPr>
        <w:spacing w:line="321" w:lineRule="auto"/>
        <w:jc w:val="left"/>
        <w:rPr>
          <w:rFonts w:ascii="Arial"/>
          <w:sz w:val="21"/>
        </w:rPr>
      </w:pPr>
    </w:p>
    <w:p w14:paraId="20E5E28D">
      <w:pPr>
        <w:pStyle w:val="2"/>
        <w:spacing w:before="129" w:line="177" w:lineRule="auto"/>
        <w:ind w:left="7"/>
        <w:rPr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695325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  <w:sz w:val="30"/>
          <w:szCs w:val="30"/>
        </w:rPr>
        <w:t>个人优势</w:t>
      </w:r>
    </w:p>
    <w:p w14:paraId="690BF90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（1）</w:t>
      </w:r>
      <w:r>
        <w:rPr>
          <w:rFonts w:hint="eastAsia"/>
          <w:b/>
          <w:bCs/>
          <w:color w:val="333333"/>
          <w:lang w:val="en-US" w:eastAsia="zh-CN"/>
        </w:rPr>
        <w:t>从零搭建成本核算体系的能力</w:t>
      </w:r>
      <w:r>
        <w:rPr>
          <w:rFonts w:hint="eastAsia"/>
          <w:color w:val="333333"/>
          <w:lang w:val="en-US" w:eastAsia="zh-CN"/>
        </w:rPr>
        <w:t>：在品园，从零搭建成本核算体系并落地运行。做到了日出报表，计量精度从"按车"细化到"按枝"，50个地块独立核算。主导设计五单元阿米巴独立核算与管理报表体系。实现老板价值链管理的思路。</w:t>
      </w:r>
    </w:p>
    <w:p w14:paraId="45A36D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（2）</w:t>
      </w:r>
      <w:r>
        <w:rPr>
          <w:rFonts w:hint="eastAsia"/>
          <w:b/>
          <w:bCs/>
          <w:color w:val="333333"/>
          <w:lang w:val="en-US" w:eastAsia="zh-CN"/>
        </w:rPr>
        <w:t>业财融合的财务BP实战经验</w:t>
      </w:r>
      <w:r>
        <w:rPr>
          <w:rFonts w:hint="eastAsia"/>
          <w:color w:val="333333"/>
          <w:lang w:val="en-US" w:eastAsia="zh-CN"/>
        </w:rPr>
        <w:t>：在融创做项目财务经理时，干过经营计划与项目测算（拿地测算、滚动预算、财务背书），应对过税务稽查并顺利通过，也负责过共享中心协调、按揭业务、银行关系维护。在成熟体系里做财务BP，为业务决策提供财务支持。</w:t>
      </w:r>
    </w:p>
    <w:p w14:paraId="0063AFF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（3）</w:t>
      </w:r>
      <w:r>
        <w:rPr>
          <w:rFonts w:hint="eastAsia"/>
          <w:b/>
          <w:bCs/>
          <w:color w:val="333333"/>
          <w:lang w:val="en-US" w:eastAsia="zh-CN"/>
        </w:rPr>
        <w:t>CPA持证+审计与企业财务双轨能力</w:t>
      </w:r>
      <w:r>
        <w:rPr>
          <w:rFonts w:hint="eastAsia"/>
          <w:color w:val="333333"/>
          <w:lang w:val="en-US" w:eastAsia="zh-CN"/>
        </w:rPr>
        <w:t>：注册会计师（非执业会员）。中审众环4年审计经验（制造业、农业、金融、IPO），后转企业做财务管理。审计经验让我从风险视角看财务问题，企业经验让我懂业务怎么运转。熟悉集团公司合并报表编制与审计流程。</w:t>
      </w:r>
    </w:p>
    <w:p w14:paraId="678A6D34">
      <w:pPr>
        <w:pStyle w:val="2"/>
        <w:spacing w:before="129" w:line="176" w:lineRule="auto"/>
        <w:ind w:left="18"/>
        <w:rPr>
          <w:rFonts w:hint="eastAsia"/>
          <w:color w:val="333333"/>
          <w:lang w:val="en-US" w:eastAsia="zh-CN"/>
        </w:rPr>
      </w:pPr>
    </w:p>
    <w:p w14:paraId="034A2347">
      <w:pPr>
        <w:pStyle w:val="2"/>
        <w:spacing w:before="129" w:line="176" w:lineRule="auto"/>
        <w:ind w:left="18"/>
        <w:rPr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工作经历</w:t>
      </w:r>
    </w:p>
    <w:p w14:paraId="080D10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3" w:line="216" w:lineRule="auto"/>
        <w:jc w:val="both"/>
        <w:textAlignment w:val="baseline"/>
        <w:rPr>
          <w:rFonts w:hint="eastAsia"/>
          <w:color w:val="666666"/>
          <w:spacing w:val="-1"/>
          <w:position w:val="1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弥勒品元园艺有限公司  </w:t>
      </w:r>
      <w:r>
        <w:rPr>
          <w:rFonts w:hint="eastAsia"/>
          <w:color w:val="333333"/>
          <w:lang w:val="en-US" w:eastAsia="zh-CN"/>
        </w:rPr>
        <w:t>农业（鲜花种植）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color w:val="333333"/>
        </w:rPr>
        <w:t>财务</w:t>
      </w:r>
      <w:r>
        <w:rPr>
          <w:rFonts w:hint="eastAsia"/>
          <w:color w:val="333333"/>
          <w:lang w:val="en-US" w:eastAsia="zh-CN"/>
        </w:rPr>
        <w:t>负责人</w:t>
      </w:r>
      <w:r>
        <w:rPr>
          <w:color w:val="333333"/>
        </w:rPr>
        <w:t xml:space="preserve">                           </w:t>
      </w:r>
      <w:r>
        <w:rPr>
          <w:color w:val="666666"/>
          <w:spacing w:val="-1"/>
          <w:position w:val="1"/>
        </w:rPr>
        <w:t>202</w:t>
      </w:r>
      <w:r>
        <w:rPr>
          <w:rFonts w:hint="eastAsia"/>
          <w:color w:val="666666"/>
          <w:spacing w:val="-1"/>
          <w:position w:val="1"/>
          <w:lang w:val="en-US" w:eastAsia="zh-CN"/>
        </w:rPr>
        <w:t>2</w:t>
      </w:r>
      <w:r>
        <w:rPr>
          <w:color w:val="666666"/>
          <w:spacing w:val="-1"/>
          <w:position w:val="1"/>
        </w:rPr>
        <w:t>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6</w:t>
      </w:r>
      <w:r>
        <w:rPr>
          <w:color w:val="666666"/>
          <w:spacing w:val="-1"/>
          <w:position w:val="1"/>
        </w:rPr>
        <w:t>.</w:t>
      </w:r>
      <w:r>
        <w:rPr>
          <w:rFonts w:hint="eastAsia"/>
          <w:color w:val="666666"/>
          <w:spacing w:val="-1"/>
          <w:position w:val="1"/>
          <w:lang w:val="en-US" w:eastAsia="zh-CN"/>
        </w:rPr>
        <w:t>06</w:t>
      </w:r>
    </w:p>
    <w:p w14:paraId="1C5D79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9" w:line="216" w:lineRule="auto"/>
        <w:ind w:left="11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b/>
          <w:bCs/>
          <w:color w:val="333333"/>
          <w:lang w:val="en-US" w:eastAsia="zh-CN"/>
        </w:rPr>
        <w:t>公司背景：</w:t>
      </w:r>
      <w:r>
        <w:rPr>
          <w:rFonts w:hint="default"/>
          <w:color w:val="333333"/>
          <w:lang w:val="en-US" w:eastAsia="zh-CN"/>
        </w:rPr>
        <w:t>产供销一体的</w:t>
      </w:r>
      <w:r>
        <w:rPr>
          <w:rFonts w:hint="eastAsia"/>
          <w:color w:val="333333"/>
          <w:lang w:val="en-US" w:eastAsia="zh-CN"/>
        </w:rPr>
        <w:t>中小型</w:t>
      </w:r>
      <w:r>
        <w:rPr>
          <w:rFonts w:hint="default"/>
          <w:color w:val="333333"/>
          <w:lang w:val="en-US" w:eastAsia="zh-CN"/>
        </w:rPr>
        <w:t>制造业企业，1</w:t>
      </w:r>
      <w:r>
        <w:rPr>
          <w:rFonts w:hint="eastAsia"/>
          <w:color w:val="333333"/>
          <w:lang w:val="en-US" w:eastAsia="zh-CN"/>
        </w:rPr>
        <w:t>2</w:t>
      </w:r>
      <w:r>
        <w:rPr>
          <w:rFonts w:hint="default"/>
          <w:color w:val="333333"/>
          <w:lang w:val="en-US" w:eastAsia="zh-CN"/>
        </w:rPr>
        <w:t>0余人，年产鲜切花近</w:t>
      </w:r>
      <w:r>
        <w:rPr>
          <w:rFonts w:hint="eastAsia"/>
          <w:color w:val="333333"/>
          <w:lang w:val="en-US" w:eastAsia="zh-CN"/>
        </w:rPr>
        <w:t>30</w:t>
      </w:r>
      <w:r>
        <w:rPr>
          <w:rFonts w:hint="default"/>
          <w:color w:val="333333"/>
          <w:lang w:val="en-US" w:eastAsia="zh-CN"/>
        </w:rPr>
        <w:t>00万枝。</w:t>
      </w:r>
    </w:p>
    <w:p w14:paraId="7017AFF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一、从零搭建成本核算体系并落地运行</w:t>
      </w:r>
    </w:p>
    <w:p w14:paraId="60B436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1、深入车间理解业务流程（种植基地、加工车间、仓库）</w:t>
      </w:r>
    </w:p>
    <w:p w14:paraId="6077C18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2、搭建物料编码与成本核算体系，配合ERP上线</w:t>
      </w:r>
    </w:p>
    <w:p w14:paraId="5A791E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3、系统对接与日报表落地</w:t>
      </w:r>
    </w:p>
    <w:p w14:paraId="4FCE9E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二、阿米巴核算体系设计</w:t>
      </w:r>
    </w:p>
    <w:p w14:paraId="22E3D0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主导设计五单元（投资/采购/生产/加工/销售）独立核算体系与管理报表。建立内部结算价机制（以拍市价为锚点），设计中结合了用工模式改革方案（阿米巴核算剥离人工成本，只核算价值创造部分）。体系设计已完成并通过报表试算验证。</w:t>
      </w:r>
    </w:p>
    <w:p w14:paraId="61E353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三、全盘财务管理与税务筹划</w:t>
      </w:r>
    </w:p>
    <w:p w14:paraId="5D9EF3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1、税务筹划与稽查应对：</w:t>
      </w:r>
    </w:p>
    <w:p w14:paraId="3D7EC6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主导税务筹划，公司适用农产品初加工免税政策（企业所得税全免）</w:t>
      </w:r>
    </w:p>
    <w:p w14:paraId="27628F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应对税务专项稽查并顺利通过，保住免税资格</w:t>
      </w:r>
    </w:p>
    <w:p w14:paraId="57DC3C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2、全盘财务管理：</w:t>
      </w:r>
    </w:p>
    <w:p w14:paraId="5399FAA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统筹年度预算、总账核算、财务报表、税务管理、资金安排</w:t>
      </w:r>
    </w:p>
    <w:p w14:paraId="720ADD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68FF44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3DA1026B">
      <w:pPr>
        <w:pStyle w:val="2"/>
        <w:spacing w:before="104" w:line="177" w:lineRule="auto"/>
        <w:jc w:val="both"/>
        <w:rPr>
          <w:rFonts w:hint="eastAsia"/>
          <w:color w:val="333333"/>
          <w:lang w:val="en-US" w:eastAsia="zh-CN"/>
        </w:rPr>
      </w:pPr>
    </w:p>
    <w:p w14:paraId="62F23286">
      <w:pPr>
        <w:pStyle w:val="2"/>
        <w:spacing w:before="104" w:line="177" w:lineRule="auto"/>
        <w:jc w:val="both"/>
      </w:pPr>
      <w:r>
        <w:rPr>
          <w:b/>
          <w:bCs/>
          <w:color w:val="333333"/>
          <w:sz w:val="24"/>
          <w:szCs w:val="24"/>
        </w:rPr>
        <w:t xml:space="preserve">云南融创置地有限公司     </w:t>
      </w:r>
      <w:r>
        <w:rPr>
          <w:rFonts w:hint="eastAsia"/>
          <w:color w:val="333333"/>
          <w:lang w:val="en-US" w:eastAsia="zh-CN"/>
        </w:rPr>
        <w:t>房地产开发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 </w:t>
      </w:r>
      <w:r>
        <w:rPr>
          <w:color w:val="333333"/>
        </w:rPr>
        <w:t xml:space="preserve">      财务经理                             </w:t>
      </w:r>
      <w:r>
        <w:rPr>
          <w:color w:val="666666"/>
          <w:spacing w:val="-1"/>
          <w:position w:val="1"/>
        </w:rPr>
        <w:t>2020.01-202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1</w:t>
      </w:r>
      <w:r>
        <w:rPr>
          <w:color w:val="666666"/>
          <w:spacing w:val="-1"/>
          <w:position w:val="1"/>
        </w:rPr>
        <w:t>.12</w:t>
      </w:r>
    </w:p>
    <w:p w14:paraId="3A538ED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一、经营计划与财务测算</w:t>
      </w:r>
    </w:p>
    <w:p w14:paraId="69807D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拿地阶段测算</w:t>
      </w:r>
    </w:p>
    <w:p w14:paraId="3F6E00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参与石林项目拿地阶段的财务测算（投资回报率、利润预测、现金流预测），为拿地决策提供财务依据。</w:t>
      </w:r>
    </w:p>
    <w:p w14:paraId="20F1364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滚动预算与实时调整</w:t>
      </w:r>
    </w:p>
    <w:p w14:paraId="0F95EAF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经营计划按月更新、实时调整。6大场景触发更新：销售降价、成本上升、付款计划改变、资产处置、拿地、低价促销。</w:t>
      </w:r>
    </w:p>
    <w:p w14:paraId="553390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财务背书</w:t>
      </w:r>
    </w:p>
    <w:p w14:paraId="670F77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为业务决策提供财务支持。典型场景：低价促销时，需测算对利润的影响、后续定价策略的可行性、整体盈利能力、现金流改善程度，从财务角度提供决策依据。</w:t>
      </w:r>
    </w:p>
    <w:p w14:paraId="54ED4D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二、税务筹划与稽查应对</w:t>
      </w:r>
    </w:p>
    <w:p w14:paraId="660107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参与拿地阶段的税务筹划，协调税局在场确认政策并形成会议纪要。应对税务专项稽查（持续3个月）并顺利通过。</w:t>
      </w:r>
    </w:p>
    <w:p w14:paraId="23EF413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三、业财协同与财务管理</w:t>
      </w:r>
    </w:p>
    <w:p w14:paraId="238EE09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财务共享中心协调</w:t>
      </w:r>
    </w:p>
    <w:p w14:paraId="558B9CF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负责项目公司与财务共享中心的对接，审核合同与付款凭证，控制财务风险。</w:t>
      </w:r>
    </w:p>
    <w:p w14:paraId="00CDCE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按揭业务与银行关系维护</w:t>
      </w:r>
    </w:p>
    <w:p w14:paraId="51FA36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维护银行关系，争取按揭额度与快速放款条件。</w:t>
      </w:r>
    </w:p>
    <w:p w14:paraId="7950C5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PBC报表</w:t>
      </w:r>
    </w:p>
    <w:p w14:paraId="39F1E1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color w:val="333333"/>
          <w:spacing w:val="-1"/>
        </w:rPr>
      </w:pPr>
      <w:r>
        <w:rPr>
          <w:rFonts w:hint="eastAsia"/>
          <w:color w:val="333333"/>
        </w:rPr>
        <w:t>每月按香港会计准则出具PBC报表（资产负债表、利润表），提交城市公司用于集团合并报表。</w:t>
      </w:r>
      <w:r>
        <w:rPr>
          <w:color w:val="333333"/>
          <w:spacing w:val="-1"/>
        </w:rPr>
        <w:t>6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、负责月末结账工作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，对外出具财务报表及各类统计报表；</w:t>
      </w:r>
    </w:p>
    <w:p w14:paraId="4DA87A0A">
      <w:pPr>
        <w:pStyle w:val="2"/>
        <w:spacing w:before="111" w:line="183" w:lineRule="auto"/>
        <w:rPr>
          <w:rFonts w:hint="eastAsia" w:eastAsia="微软雅黑"/>
          <w:color w:val="333333"/>
          <w:spacing w:val="-2"/>
          <w:lang w:eastAsia="zh-CN"/>
        </w:rPr>
      </w:pPr>
    </w:p>
    <w:p w14:paraId="238A27AC">
      <w:pPr>
        <w:pStyle w:val="2"/>
        <w:spacing w:before="103" w:line="173" w:lineRule="auto"/>
        <w:jc w:val="both"/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中审众环会计师事务所（特殊普通合伙）云南亚太分所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项目经理   </w:t>
      </w:r>
      <w:r>
        <w:rPr>
          <w:rFonts w:ascii="Arial Unicode MS" w:hAnsi="Arial Unicode MS" w:eastAsia="Arial Unicode MS" w:cs="Arial Unicode MS"/>
          <w:color w:val="666666"/>
          <w:spacing w:val="-1"/>
          <w:position w:val="1"/>
        </w:rPr>
        <w:t>2015.10-20</w:t>
      </w:r>
      <w:r>
        <w:rPr>
          <w:rFonts w:hint="eastAsia" w:ascii="Arial Unicode MS" w:hAnsi="Arial Unicode MS" w:eastAsia="Arial Unicode MS" w:cs="Arial Unicode MS"/>
          <w:color w:val="666666"/>
          <w:spacing w:val="-1"/>
          <w:position w:val="1"/>
          <w:lang w:val="en-US" w:eastAsia="zh-CN"/>
        </w:rPr>
        <w:t>19.12</w:t>
      </w:r>
    </w:p>
    <w:p w14:paraId="3B2BAC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en-US"/>
        </w:rPr>
        <w:t>1、</w:t>
      </w:r>
      <w:r>
        <w:rPr>
          <w:rFonts w:hint="eastAsia"/>
          <w:color w:val="333333"/>
        </w:rPr>
        <w:t>文山苗乡三七股份有限公司 | IPO辅导审计</w:t>
      </w:r>
    </w:p>
    <w:p w14:paraId="60796A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负责拟上市农业企业IPO审计项目。梳理企业财务核算流程，识别农业企业关键风险点（存货核定、现金管理等），提出解决方案，推进财务规范化。</w:t>
      </w:r>
    </w:p>
    <w:p w14:paraId="67053F8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2、</w:t>
      </w:r>
      <w:r>
        <w:rPr>
          <w:rFonts w:hint="eastAsia"/>
          <w:color w:val="333333"/>
        </w:rPr>
        <w:t>呼伦贝尔金新化工（云天化子公司）| 年报审计</w:t>
      </w:r>
    </w:p>
    <w:p w14:paraId="07367D1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负责大型制造业企业年报审计，把控审计重大风险，带领团队按时完成并出具审计报告。</w:t>
      </w:r>
    </w:p>
    <w:p w14:paraId="5C9E06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3、</w:t>
      </w:r>
      <w:r>
        <w:rPr>
          <w:rFonts w:hint="eastAsia"/>
          <w:color w:val="333333"/>
        </w:rPr>
        <w:t>吉林环城农村商业银行 | 收购审计</w:t>
      </w:r>
    </w:p>
    <w:p w14:paraId="43C874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负责金融企业收购审计，站在投资者角度评估收购风险，带领审计团队完成项目。</w:t>
      </w:r>
    </w:p>
    <w:p w14:paraId="6E3691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4、云南磷化集团（云天化子公司）| 年报审计参与大型集团公司年报审计，负责采购与付款、生产与仓储、长期资产等循环。</w:t>
      </w:r>
    </w:p>
    <w:p w14:paraId="68550F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5、吉林云天化农业发展 | 年报审计</w:t>
      </w:r>
    </w:p>
    <w:p w14:paraId="05F11E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参与集团公司年报审计，负责采购与付款、生产与仓储等循环。</w:t>
      </w:r>
    </w:p>
    <w:p w14:paraId="48FCC5C2">
      <w:pPr>
        <w:pStyle w:val="2"/>
        <w:spacing w:before="104" w:line="179" w:lineRule="auto"/>
        <w:jc w:val="both"/>
        <w:rPr>
          <w:rFonts w:ascii="Arial Unicode MS" w:hAnsi="Arial Unicode MS" w:eastAsia="Arial Unicode MS" w:cs="Arial Unicode MS"/>
        </w:rPr>
      </w:pPr>
      <w:r>
        <w:rPr>
          <w:b/>
          <w:bCs/>
          <w:color w:val="333333"/>
          <w:spacing w:val="1"/>
          <w:sz w:val="24"/>
          <w:szCs w:val="24"/>
        </w:rPr>
        <w:t>云南永盛会计师事务所</w:t>
      </w:r>
      <w:r>
        <w:rPr>
          <w:b/>
          <w:bCs/>
          <w:color w:val="333333"/>
          <w:spacing w:val="9"/>
          <w:sz w:val="24"/>
          <w:szCs w:val="24"/>
        </w:rPr>
        <w:t xml:space="preserve">     </w:t>
      </w:r>
      <w:r>
        <w:rPr>
          <w:rFonts w:ascii="Arial Unicode MS" w:hAnsi="Arial Unicode MS" w:eastAsia="Arial Unicode MS" w:cs="Arial Unicode MS"/>
          <w:color w:val="333333"/>
          <w:spacing w:val="1"/>
        </w:rPr>
        <w:t>审计</w:t>
      </w:r>
      <w:r>
        <w:rPr>
          <w:rFonts w:hint="eastAsia" w:ascii="Arial Unicode MS" w:hAnsi="Arial Unicode MS" w:eastAsia="Arial Unicode MS" w:cs="Arial Unicode MS"/>
          <w:color w:val="333333"/>
          <w:spacing w:val="1"/>
          <w:lang w:val="en-US" w:eastAsia="zh-CN"/>
        </w:rPr>
        <w:t>助理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                                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2014.10-2015.09</w:t>
      </w:r>
    </w:p>
    <w:p w14:paraId="424256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eastAsia="zh-CN"/>
        </w:rPr>
      </w:pPr>
      <w:r>
        <w:rPr>
          <w:rFonts w:hint="eastAsia"/>
          <w:color w:val="333333"/>
        </w:rPr>
        <w:t>1 、 参与昭通市绥江县供电公司和水富县供电公司任期经济责任审计， 主要负责货币资金 、招投标和物资管理等审计工 作</w:t>
      </w:r>
      <w:r>
        <w:rPr>
          <w:rFonts w:hint="eastAsia"/>
          <w:color w:val="333333"/>
          <w:lang w:eastAsia="zh-CN"/>
        </w:rPr>
        <w:t>。</w:t>
      </w:r>
    </w:p>
    <w:p w14:paraId="64C409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 、 负责云南典实送变电工程有限责任的2014年年报审计及其后期审计工作底稿的编制， 整理和归档工作。</w:t>
      </w:r>
    </w:p>
    <w:p w14:paraId="256672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 、 参与大理西电实业有限责任公司的管理咨询项目及该公司的2014年年报审计项目。</w:t>
      </w:r>
    </w:p>
    <w:p w14:paraId="16D707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4 、参与开远市盘活财政存量资金专项清查项目， 负责该市社保科30个单位的存量资金专项清查工作。</w:t>
      </w:r>
    </w:p>
    <w:p w14:paraId="79ACF2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5 、负责红河州电机工程学会2011-2014年年报审计和2015年1月-7月半年报审计， 以及该学会理事长2011年2月至 2015年7月的任期经济责任审计。</w:t>
      </w:r>
    </w:p>
    <w:p w14:paraId="125B6963">
      <w:pPr>
        <w:spacing w:line="366" w:lineRule="auto"/>
        <w:rPr>
          <w:rFonts w:ascii="Arial"/>
          <w:sz w:val="21"/>
        </w:rPr>
      </w:pPr>
    </w:p>
    <w:p w14:paraId="47E70453">
      <w:pPr>
        <w:pStyle w:val="2"/>
        <w:spacing w:before="129" w:line="175" w:lineRule="auto"/>
        <w:ind w:left="3"/>
        <w:rPr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30"/>
          <w:szCs w:val="30"/>
        </w:rPr>
        <w:t>教育经历</w:t>
      </w:r>
    </w:p>
    <w:p w14:paraId="0976CCAC">
      <w:pPr>
        <w:pStyle w:val="2"/>
        <w:spacing w:before="304" w:line="176" w:lineRule="auto"/>
        <w:jc w:val="both"/>
        <w:rPr>
          <w:rFonts w:ascii="Arial Unicode MS" w:hAnsi="Arial Unicode MS" w:eastAsia="Arial Unicode MS" w:cs="Arial Unicode MS"/>
        </w:rPr>
      </w:pPr>
      <w:r>
        <w:rPr>
          <w:b w:val="0"/>
          <w:bCs w:val="0"/>
          <w:color w:val="333333"/>
          <w:spacing w:val="1"/>
          <w:sz w:val="24"/>
          <w:szCs w:val="24"/>
        </w:rPr>
        <w:t xml:space="preserve">哈尔滨理工大学 </w:t>
      </w:r>
      <w:r>
        <w:rPr>
          <w:b/>
          <w:bCs/>
          <w:color w:val="333333"/>
          <w:spacing w:val="1"/>
          <w:sz w:val="24"/>
          <w:szCs w:val="24"/>
        </w:rPr>
        <w:t xml:space="preserve">    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1"/>
          <w:kern w:val="0"/>
          <w:sz w:val="19"/>
          <w:szCs w:val="19"/>
          <w:lang w:val="en-US" w:eastAsia="zh-CN" w:bidi="ar-SA"/>
        </w:rPr>
        <w:t>全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zh-CN" w:bidi="ar-SA"/>
        </w:rPr>
        <w:t>日制统招</w:t>
      </w:r>
      <w:r>
        <w:rPr>
          <w:rFonts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en-US" w:bidi="ar-SA"/>
        </w:rPr>
        <w:t>本科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人力资源专业                      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2010-2014</w:t>
      </w:r>
    </w:p>
    <w:p w14:paraId="0F5E9E7E">
      <w:pPr>
        <w:pStyle w:val="2"/>
        <w:spacing w:before="129" w:line="178" w:lineRule="auto"/>
        <w:ind w:left="14"/>
        <w:rPr>
          <w:b/>
          <w:bCs/>
          <w:spacing w:val="-8"/>
          <w:sz w:val="30"/>
          <w:szCs w:val="30"/>
        </w:rPr>
      </w:pPr>
    </w:p>
    <w:p w14:paraId="1D1C26A9">
      <w:pPr>
        <w:pStyle w:val="2"/>
        <w:spacing w:before="129" w:line="178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资格证书</w:t>
      </w:r>
    </w:p>
    <w:p w14:paraId="51B7D224">
      <w:pPr>
        <w:spacing w:before="321" w:line="186" w:lineRule="auto"/>
        <w:ind w:left="11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非执业CPA会员</w:t>
      </w:r>
      <w:r>
        <w:rPr>
          <w:rFonts w:ascii="Arial Unicode MS" w:hAnsi="Arial Unicode MS" w:eastAsia="Arial Unicode MS" w:cs="Arial Unicode MS"/>
          <w:color w:val="333333"/>
          <w:spacing w:val="5"/>
          <w:sz w:val="19"/>
          <w:szCs w:val="19"/>
        </w:rPr>
        <w:t xml:space="preserve">      </w:t>
      </w: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注册会计师</w:t>
      </w:r>
    </w:p>
    <w:p w14:paraId="070CF75A">
      <w:pPr>
        <w:spacing w:before="321" w:line="186" w:lineRule="auto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</w:p>
    <w:p w14:paraId="2084BB1E">
      <w:pPr>
        <w:pStyle w:val="2"/>
        <w:spacing w:before="130" w:line="176" w:lineRule="auto"/>
        <w:ind w:left="20"/>
        <w:rPr>
          <w:sz w:val="30"/>
          <w:szCs w:val="3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专业技能</w:t>
      </w:r>
    </w:p>
    <w:p w14:paraId="464C72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ERP系统：SAP、旺店通</w:t>
      </w:r>
    </w:p>
    <w:p w14:paraId="4241A4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办公软件：</w:t>
      </w:r>
      <w:r>
        <w:rPr>
          <w:rFonts w:hint="eastAsia"/>
          <w:color w:val="333333"/>
          <w:lang w:val="en-US" w:eastAsia="zh-CN"/>
        </w:rPr>
        <w:t>熟练使用</w:t>
      </w:r>
      <w:r>
        <w:rPr>
          <w:rFonts w:hint="eastAsia"/>
          <w:color w:val="333333"/>
        </w:rPr>
        <w:t>Excel</w:t>
      </w:r>
    </w:p>
    <w:p w14:paraId="63560E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</w:p>
    <w:p w14:paraId="33D1B4FD">
      <w:pPr>
        <w:pStyle w:val="2"/>
        <w:spacing w:before="130" w:line="175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953250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兴趣爱好</w:t>
      </w:r>
    </w:p>
    <w:p w14:paraId="1B541F1D">
      <w:pPr>
        <w:spacing w:before="324" w:line="180" w:lineRule="auto"/>
        <w:ind w:left="18"/>
        <w:rPr>
          <w:rFonts w:hint="default" w:ascii="Arial Unicode MS" w:hAnsi="Arial Unicode MS" w:eastAsia="Arial Unicode MS" w:cs="Arial Unicode MS"/>
          <w:sz w:val="19"/>
          <w:szCs w:val="19"/>
          <w:lang w:val="en-US" w:eastAsia="zh-CN"/>
        </w:rPr>
      </w:pPr>
      <w:r>
        <w:rPr>
          <w:rFonts w:ascii="Arial Unicode MS" w:hAnsi="Arial Unicode MS" w:eastAsia="Arial Unicode MS" w:cs="Arial Unicode MS"/>
          <w:color w:val="333333"/>
          <w:spacing w:val="-11"/>
          <w:sz w:val="19"/>
          <w:szCs w:val="19"/>
        </w:rPr>
        <w:t>阅读， 徒步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val="en-US" w:eastAsia="zh-CN"/>
        </w:rPr>
        <w:t>音乐</w:t>
      </w:r>
    </w:p>
    <w:sectPr>
      <w:footerReference r:id="rId5" w:type="default"/>
      <w:pgSz w:w="11906" w:h="16839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017022F-6F20-49F6-87AD-C97F64B9DF3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C1024EC3-3010-499D-87B1-0425B77E4381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  <w:embedRegular r:id="rId3" w:fontKey="{72FB69F5-45EA-4600-B89D-082D8868AE0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2BAF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9C64AF"/>
    <w:rsid w:val="156B0FD1"/>
    <w:rsid w:val="1EB544D7"/>
    <w:rsid w:val="256C4D97"/>
    <w:rsid w:val="29AE69D6"/>
    <w:rsid w:val="2D3673C5"/>
    <w:rsid w:val="36651AFB"/>
    <w:rsid w:val="3E1E6134"/>
    <w:rsid w:val="3F1811EE"/>
    <w:rsid w:val="44F454F8"/>
    <w:rsid w:val="4F6672D1"/>
    <w:rsid w:val="74E706DA"/>
    <w:rsid w:val="765A4D38"/>
    <w:rsid w:val="77425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1881</Words>
  <Characters>2041</Characters>
  <TotalTime>2</TotalTime>
  <ScaleCrop>false</ScaleCrop>
  <LinksUpToDate>false</LinksUpToDate>
  <CharactersWithSpaces>2297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2025-01-10T08:55:00Z</dcterms:created>
  <dc:creator>79145</dc:creator>
  <cp:lastModifiedBy>Kobe Stefanie</cp:lastModifiedBy>
  <dcterms:modified xsi:type="dcterms:W3CDTF">2026-07-10T09:06:22Z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2025-01-10T17:15:35Z</vt:filetime>
  </property>
  <property fmtid="{D5CDD505-2E9C-101B-9397-08002B2CF9AE}" pid="4" name="KSOTemplateDocerSaveRecord">
    <vt:lpwstr>eyJoZGlkIjoiZGNhYjAzYmY4YTNlN2NmMTQ0YjZjYzM2OWM3NjMwZTgiLCJ1c2VySWQiOiIxODUxOTM1NTk1In0=</vt:lpwstr>
  </property>
  <property fmtid="{D5CDD505-2E9C-101B-9397-08002B2CF9AE}" pid="5" name="KSOProductBuildVer">
    <vt:lpwstr>2052-12.1.0.26895</vt:lpwstr>
  </property>
  <property fmtid="{D5CDD505-2E9C-101B-9397-08002B2CF9AE}" pid="6" name="ICV">
    <vt:lpwstr>FD27553FC8CA488E9BE89FD5D5FBD2EB_13</vt:lpwstr>
  </property>
</Properties>
</file>