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rial" w:hAnsi="Arial"/>
          <w:b/>
          <w:i w:val="0"/>
          <w:color w:val="1F4E79"/>
          <w:sz w:val="48"/>
        </w:rPr>
        <w:t>KOBI v1.1</w:t>
      </w:r>
    </w:p>
    <w:p>
      <w:pPr>
        <w:spacing w:after="200"/>
        <w:jc w:val="center"/>
      </w:pPr>
      <w:r>
        <w:rPr>
          <w:rFonts w:ascii="Arial" w:hAnsi="Arial"/>
          <w:b/>
          <w:i w:val="0"/>
          <w:color w:val="2C3E50"/>
          <w:sz w:val="36"/>
        </w:rPr>
        <w:t>Formales Protokoll für Multi-KI-Deliberation</w:t>
      </w:r>
    </w:p>
    <w:p>
      <w:pPr>
        <w:jc w:val="center"/>
      </w:pPr>
      <w:r>
        <w:rPr>
          <w:rFonts w:ascii="Arial" w:hAnsi="Arial"/>
          <w:b w:val="0"/>
          <w:i/>
          <w:color w:val="5A5A5A"/>
          <w:sz w:val="24"/>
        </w:rPr>
        <w:t>Arbeits-, Forschungs- und Förderversion</w:t>
      </w:r>
    </w:p>
    <w:tbl>
      <w:tblPr>
        <w:tblW w:type="auto" w:w="0"/>
        <w:jc w:val="center"/>
        <w:tblLayout w:type="fixed"/>
        <w:tblLook w:firstColumn="1" w:firstRow="1" w:lastColumn="0" w:lastRow="0" w:noHBand="0" w:noVBand="1" w:val="04A0"/>
      </w:tblPr>
      <w:tblGrid>
        <w:gridCol w:w="8787"/>
      </w:tblGrid>
      <w:tr>
        <w:tc>
          <w:tcPr>
            <w:tcW w:type="dxa" w:w="9972"/>
            <w:shd w:fill="EEF4FB"/>
            <w:tcMar>
              <w:top w:w="160" w:type="dxa"/>
              <w:start w:w="140" w:type="dxa"/>
              <w:bottom w:w="120" w:type="dxa"/>
              <w:end w:w="140" w:type="dxa"/>
            </w:tcMar>
            <w:vAlign w:val="center"/>
          </w:tcPr>
          <w:p>
            <w:r>
              <w:rPr>
                <w:rFonts w:ascii="Arial" w:hAnsi="Arial"/>
                <w:b/>
                <w:i w:val="0"/>
                <w:color w:val="2C3E50"/>
                <w:sz w:val="21"/>
              </w:rPr>
              <w:t>Zweck</w:t>
              <w:br/>
            </w:r>
            <w:r>
              <w:rPr>
                <w:rFonts w:ascii="Arial" w:hAnsi="Arial"/>
                <w:b w:val="0"/>
                <w:i w:val="0"/>
                <w:color w:val="373737"/>
                <w:sz w:val="21"/>
              </w:rPr>
              <w:t>KOBI operationalisiert eine strukturierte, menschlich koordinierte Multi-KI-Konsultation für komplexe Design-, Forschungs- und Governance-Entscheidungen.</w:t>
              <w:br/>
            </w:r>
            <w:r>
              <w:rPr>
                <w:rFonts w:ascii="Arial" w:hAnsi="Arial"/>
                <w:b w:val="0"/>
                <w:i w:val="0"/>
                <w:color w:val="373737"/>
                <w:sz w:val="21"/>
              </w:rPr>
              <w:br/>
            </w:r>
            <w:r>
              <w:rPr>
                <w:rFonts w:ascii="Arial" w:hAnsi="Arial"/>
                <w:b/>
                <w:i w:val="0"/>
                <w:color w:val="2C3E50"/>
                <w:sz w:val="21"/>
              </w:rPr>
              <w:t>Kernversprechen</w:t>
              <w:br/>
            </w:r>
            <w:r>
              <w:rPr>
                <w:rFonts w:ascii="Arial" w:hAnsi="Arial"/>
                <w:b w:val="0"/>
                <w:i w:val="0"/>
                <w:color w:val="373737"/>
                <w:sz w:val="21"/>
              </w:rPr>
              <w:t>Diversität der Perspektiven wird systematisch nutzbar gemacht, ohne menschliches Urteil zu ersetzen. Entscheidungen bleiben transparent, dokumentierbar und später auswertbar.</w:t>
              <w:br/>
            </w:r>
            <w:r>
              <w:rPr>
                <w:rFonts w:ascii="Arial" w:hAnsi="Arial"/>
                <w:b w:val="0"/>
                <w:i w:val="0"/>
                <w:color w:val="373737"/>
                <w:sz w:val="21"/>
              </w:rPr>
              <w:br/>
            </w:r>
            <w:r>
              <w:rPr>
                <w:rFonts w:ascii="Arial" w:hAnsi="Arial"/>
                <w:b/>
                <w:i w:val="0"/>
                <w:color w:val="2C3E50"/>
                <w:sz w:val="21"/>
              </w:rPr>
              <w:t>Positionierung</w:t>
              <w:br/>
            </w:r>
            <w:r>
              <w:rPr>
                <w:rFonts w:ascii="Arial" w:hAnsi="Arial"/>
                <w:b w:val="0"/>
                <w:i w:val="0"/>
                <w:color w:val="373737"/>
                <w:sz w:val="21"/>
              </w:rPr>
              <w:t>KOBI ist kein SKI, sondern ein PLURALIS-inspiriertes Protokoll und ein belastbarer Proof-of-Concept für SKI-Funktionalität im kleinen Maßstab.</w:t>
            </w:r>
          </w:p>
        </w:tc>
      </w:tr>
    </w:tbl>
    <w:p>
      <w:pPr>
        <w:spacing w:after="240" w:line="276" w:lineRule="auto"/>
        <w:jc w:val="center"/>
      </w:pPr>
      <w:r>
        <w:rPr>
          <w:rFonts w:ascii="Arial" w:hAnsi="Arial"/>
          <w:b w:val="0"/>
          <w:i w:val="0"/>
          <w:color w:val="505050"/>
          <w:sz w:val="21"/>
        </w:rPr>
        <w:t>Version 1.1 reagiert auf drei Anforderungen: ein klareres Executive Summary, messbare Qualitäts- und Wirkungsindikatoren sowie eine präzisere akademische und förderlogische Sprache.</w:t>
      </w:r>
    </w:p>
    <w:tbl>
      <w:tblPr>
        <w:tblStyle w:val="TableGrid"/>
        <w:tblW w:type="auto" w:w="0"/>
        <w:jc w:val="center"/>
        <w:tblLook w:firstColumn="1" w:firstRow="1" w:lastColumn="0" w:lastRow="0" w:noHBand="0" w:noVBand="1" w:val="04A0"/>
      </w:tblPr>
      <w:tblGrid>
        <w:gridCol w:w="3324"/>
        <w:gridCol w:w="3324"/>
        <w:gridCol w:w="3324"/>
      </w:tblGrid>
      <w:tr>
        <w:tc>
          <w:tcPr>
            <w:tcW w:type="dxa" w:w="3324"/>
            <w:tcMar>
              <w:top w:w="80" w:type="dxa"/>
              <w:start w:w="90" w:type="dxa"/>
              <w:bottom w:w="80" w:type="dxa"/>
              <w:end w:w="90" w:type="dxa"/>
            </w:tcMar>
          </w:tcPr>
          <w:p>
            <w:r>
              <w:rPr>
                <w:rFonts w:ascii="Arial" w:hAnsi="Arial"/>
                <w:b/>
                <w:i w:val="0"/>
                <w:color w:val="1F4E79"/>
                <w:sz w:val="18"/>
              </w:rPr>
              <w:t>Status</w:t>
              <w:br/>
            </w:r>
            <w:r>
              <w:rPr>
                <w:rFonts w:ascii="Arial" w:hAnsi="Arial"/>
                <w:b w:val="0"/>
                <w:i w:val="0"/>
                <w:sz w:val="19"/>
              </w:rPr>
              <w:t>Operational als Human-in-the-Loop-Protokoll</w:t>
            </w:r>
          </w:p>
        </w:tc>
        <w:tc>
          <w:tcPr>
            <w:tcW w:type="dxa" w:w="3324"/>
            <w:tcMar>
              <w:top w:w="80" w:type="dxa"/>
              <w:start w:w="90" w:type="dxa"/>
              <w:bottom w:w="80" w:type="dxa"/>
              <w:end w:w="90" w:type="dxa"/>
            </w:tcMar>
          </w:tcPr>
          <w:p>
            <w:r>
              <w:rPr>
                <w:rFonts w:ascii="Arial" w:hAnsi="Arial"/>
                <w:b/>
                <w:i w:val="0"/>
                <w:color w:val="1F4E79"/>
                <w:sz w:val="18"/>
              </w:rPr>
              <w:t>Primärer Einsatz</w:t>
              <w:br/>
            </w:r>
            <w:r>
              <w:rPr>
                <w:rFonts w:ascii="Arial" w:hAnsi="Arial"/>
                <w:b w:val="0"/>
                <w:i w:val="0"/>
                <w:sz w:val="19"/>
              </w:rPr>
              <w:t>PLURALIS-Entwicklung, Förderanträge, Forschungsdesign</w:t>
            </w:r>
          </w:p>
        </w:tc>
        <w:tc>
          <w:tcPr>
            <w:tcW w:type="dxa" w:w="3324"/>
            <w:tcMar>
              <w:top w:w="80" w:type="dxa"/>
              <w:start w:w="90" w:type="dxa"/>
              <w:bottom w:w="80" w:type="dxa"/>
              <w:end w:w="90" w:type="dxa"/>
            </w:tcMar>
          </w:tcPr>
          <w:p>
            <w:r>
              <w:rPr>
                <w:rFonts w:ascii="Arial" w:hAnsi="Arial"/>
                <w:b/>
                <w:i w:val="0"/>
                <w:color w:val="1F4E79"/>
                <w:sz w:val="18"/>
              </w:rPr>
              <w:t>Empfohlene Anhänge</w:t>
              <w:br/>
            </w:r>
            <w:r>
              <w:rPr>
                <w:rFonts w:ascii="Arial" w:hAnsi="Arial"/>
                <w:b w:val="0"/>
                <w:i w:val="0"/>
                <w:sz w:val="19"/>
              </w:rPr>
              <w:t>KOBI-Logs, Fallbeispiele, Output-Memos</w:t>
            </w:r>
          </w:p>
        </w:tc>
      </w:tr>
      <w:tr>
        <w:tc>
          <w:tcPr>
            <w:tcW w:type="dxa" w:w="3324"/>
            <w:tcMar>
              <w:top w:w="80" w:type="dxa"/>
              <w:start w:w="90" w:type="dxa"/>
              <w:bottom w:w="80" w:type="dxa"/>
              <w:end w:w="90" w:type="dxa"/>
            </w:tcMar>
          </w:tcPr>
          <w:p>
            <w:r>
              <w:rPr>
                <w:rFonts w:ascii="Arial" w:hAnsi="Arial"/>
                <w:b/>
                <w:i w:val="0"/>
                <w:color w:val="1F4E79"/>
                <w:sz w:val="18"/>
              </w:rPr>
              <w:t>Version</w:t>
              <w:br/>
            </w:r>
            <w:r>
              <w:rPr>
                <w:rFonts w:ascii="Arial" w:hAnsi="Arial"/>
                <w:b w:val="0"/>
                <w:i w:val="0"/>
                <w:sz w:val="19"/>
              </w:rPr>
              <w:t>1.1</w:t>
            </w:r>
          </w:p>
        </w:tc>
        <w:tc>
          <w:tcPr>
            <w:tcW w:type="dxa" w:w="3324"/>
            <w:tcMar>
              <w:top w:w="80" w:type="dxa"/>
              <w:start w:w="90" w:type="dxa"/>
              <w:bottom w:w="80" w:type="dxa"/>
              <w:end w:w="90" w:type="dxa"/>
            </w:tcMar>
          </w:tcPr>
          <w:p>
            <w:r>
              <w:rPr>
                <w:rFonts w:ascii="Arial" w:hAnsi="Arial"/>
                <w:b/>
                <w:i w:val="0"/>
                <w:color w:val="1F4E79"/>
                <w:sz w:val="18"/>
              </w:rPr>
              <w:t>Koordination</w:t>
              <w:br/>
            </w:r>
            <w:r>
              <w:rPr>
                <w:rFonts w:ascii="Arial" w:hAnsi="Arial"/>
                <w:b w:val="0"/>
                <w:i w:val="0"/>
                <w:sz w:val="19"/>
              </w:rPr>
              <w:t>Christian Schmidhuber / menschliche Synthese</w:t>
            </w:r>
          </w:p>
        </w:tc>
        <w:tc>
          <w:tcPr>
            <w:tcW w:type="dxa" w:w="3324"/>
            <w:tcMar>
              <w:top w:w="80" w:type="dxa"/>
              <w:start w:w="90" w:type="dxa"/>
              <w:bottom w:w="80" w:type="dxa"/>
              <w:end w:w="90" w:type="dxa"/>
            </w:tcMar>
          </w:tcPr>
          <w:p>
            <w:r>
              <w:rPr>
                <w:rFonts w:ascii="Arial" w:hAnsi="Arial"/>
                <w:b/>
                <w:i w:val="0"/>
                <w:color w:val="1F4E79"/>
                <w:sz w:val="18"/>
              </w:rPr>
              <w:t>Dokumenttyp</w:t>
              <w:br/>
            </w:r>
            <w:r>
              <w:rPr>
                <w:rFonts w:ascii="Arial" w:hAnsi="Arial"/>
                <w:b w:val="0"/>
                <w:i w:val="0"/>
                <w:sz w:val="19"/>
              </w:rPr>
              <w:t>Methodik- und Governance-Dokument</w:t>
            </w:r>
          </w:p>
        </w:tc>
      </w:tr>
    </w:tbl>
    <w:p>
      <w:r>
        <w:br w:type="page"/>
      </w:r>
    </w:p>
    <w:p>
      <w:pPr>
        <w:pStyle w:val="Heading1"/>
        <w:spacing w:after="160" w:line="276" w:lineRule="auto"/>
      </w:pPr>
      <w:r>
        <w:rPr>
          <w:rFonts w:ascii="Arial" w:hAnsi="Arial"/>
          <w:b w:val="0"/>
          <w:i w:val="0"/>
          <w:sz w:val="22"/>
        </w:rPr>
        <w:t>1. Executive Summary</w:t>
      </w:r>
    </w:p>
    <w:p>
      <w:pPr>
        <w:spacing w:after="120" w:line="276" w:lineRule="auto"/>
      </w:pPr>
      <w:r>
        <w:rPr>
          <w:rFonts w:ascii="Arial" w:hAnsi="Arial"/>
          <w:b w:val="0"/>
          <w:i w:val="0"/>
          <w:sz w:val="21"/>
        </w:rPr>
        <w:t>KOBI ist ein formalisiertes Multi-KI-Deliberationsprotokoll, in dem mehrere KI-Systeme mit komplementären Stärken unabhängig oder sequenziell zu einer Fragestellung konsultiert werden. Die entstehenden Antworten werden entlang von Konvergenz, Divergenz und Komplementarität ausgewertet; die finale Synthese erfolgt durch einen menschlichen Entscheider.</w:t>
      </w:r>
    </w:p>
    <w:p>
      <w:pPr>
        <w:spacing w:after="120" w:line="276" w:lineRule="auto"/>
      </w:pPr>
      <w:r>
        <w:rPr>
          <w:rFonts w:ascii="Arial" w:hAnsi="Arial"/>
          <w:b w:val="0"/>
          <w:i w:val="0"/>
          <w:sz w:val="21"/>
        </w:rPr>
        <w:t>Für PLURALIS ist KOBI methodisch relevant, weil es im Kleinen demonstriert, wie föderierte Perspektiven robuste Entscheidungen verbessern können, ohne dass eine Einzelinstanz dominieren muss. KOBI erzeugt damit nicht nur Inhalte, sondern auch eine auditierbare Begründungsstruktur für Design- und Governance-Entscheidungen.</w:t>
      </w:r>
    </w:p>
    <w:p>
      <w:pPr>
        <w:spacing w:after="120" w:line="276" w:lineRule="auto"/>
      </w:pPr>
      <w:r>
        <w:rPr>
          <w:rFonts w:ascii="Arial" w:hAnsi="Arial"/>
          <w:b w:val="0"/>
          <w:i w:val="0"/>
          <w:sz w:val="21"/>
        </w:rPr>
        <w:t>Dieses Dokument rahmt KOBI explizit als strukturierte Methodik - nicht als vollautomatisches Meta-Modell. Damit bleibt der Ansatz wissenschaftlich defensibel: Die Stärken liegen in Perspektivendiversität, Transparenz und dokumentierter Synthese; die Grenzen liegen in menschlicher Koordination, API-Abhängigkeiten und begrenzter Skalierbarkeit.</w:t>
      </w:r>
    </w:p>
    <w:p>
      <w:pPr>
        <w:pStyle w:val="Heading2"/>
        <w:spacing w:after="80" w:line="276" w:lineRule="auto"/>
      </w:pPr>
      <w:r>
        <w:rPr>
          <w:rFonts w:ascii="Arial" w:hAnsi="Arial"/>
          <w:b w:val="0"/>
          <w:i w:val="0"/>
          <w:sz w:val="22"/>
        </w:rPr>
        <w:t>Kernnutzen auf einen Blick</w:t>
      </w:r>
    </w:p>
    <w:tbl>
      <w:tblPr>
        <w:tblW w:type="auto" w:w="0"/>
        <w:jc w:val="center"/>
        <w:tblLayout w:type="fixed"/>
        <w:tblLook w:firstColumn="1" w:firstRow="1" w:lastColumn="0" w:lastRow="0" w:noHBand="0" w:noVBand="1" w:val="04A0"/>
      </w:tblPr>
      <w:tblGrid>
        <w:gridCol w:w="2835"/>
        <w:gridCol w:w="3118"/>
        <w:gridCol w:w="2835"/>
      </w:tblGrid>
      <w:tr>
        <w:trPr>
          <w:tblHeader w:val="true"/>
        </w:trPr>
        <w:tc>
          <w:tcPr>
            <w:tcW w:type="dxa" w:w="3324"/>
            <w:shd w:fill="DCE6F1"/>
            <w:tcMar>
              <w:top w:w="80" w:type="dxa"/>
              <w:start w:w="90" w:type="dxa"/>
              <w:bottom w:w="80" w:type="dxa"/>
              <w:end w:w="90" w:type="dxa"/>
            </w:tcMar>
          </w:tcPr>
          <w:p>
            <w:pPr>
              <w:jc w:val="center"/>
            </w:pPr>
            <w:r>
              <w:rPr>
                <w:rFonts w:ascii="Arial" w:hAnsi="Arial"/>
                <w:b/>
                <w:i w:val="0"/>
                <w:color w:val="1F4E79"/>
                <w:sz w:val="20"/>
              </w:rPr>
              <w:t>Was KOBI leistet</w:t>
            </w:r>
          </w:p>
        </w:tc>
        <w:tc>
          <w:tcPr>
            <w:tcW w:type="dxa" w:w="3324"/>
            <w:shd w:fill="DCE6F1"/>
            <w:tcMar>
              <w:top w:w="80" w:type="dxa"/>
              <w:start w:w="90" w:type="dxa"/>
              <w:bottom w:w="80" w:type="dxa"/>
              <w:end w:w="90" w:type="dxa"/>
            </w:tcMar>
          </w:tcPr>
          <w:p>
            <w:pPr>
              <w:jc w:val="center"/>
            </w:pPr>
            <w:r>
              <w:rPr>
                <w:rFonts w:ascii="Arial" w:hAnsi="Arial"/>
                <w:b/>
                <w:i w:val="0"/>
                <w:color w:val="1F4E79"/>
                <w:sz w:val="20"/>
              </w:rPr>
              <w:t>Warum das relevant ist</w:t>
            </w:r>
          </w:p>
        </w:tc>
        <w:tc>
          <w:tcPr>
            <w:tcW w:type="dxa" w:w="3324"/>
            <w:shd w:fill="DCE6F1"/>
            <w:tcMar>
              <w:top w:w="80" w:type="dxa"/>
              <w:start w:w="90" w:type="dxa"/>
              <w:bottom w:w="80" w:type="dxa"/>
              <w:end w:w="90" w:type="dxa"/>
            </w:tcMar>
          </w:tcPr>
          <w:p>
            <w:pPr>
              <w:jc w:val="center"/>
            </w:pPr>
            <w:r>
              <w:rPr>
                <w:rFonts w:ascii="Arial" w:hAnsi="Arial"/>
                <w:b/>
                <w:i w:val="0"/>
                <w:color w:val="1F4E79"/>
                <w:sz w:val="20"/>
              </w:rPr>
              <w:t>Woran Erfolg erkennbar wird</w:t>
            </w:r>
          </w:p>
        </w:tc>
      </w:tr>
      <w:tr>
        <w:tc>
          <w:tcPr>
            <w:tcW w:type="dxa" w:w="2835"/>
            <w:tcMar>
              <w:top w:w="80" w:type="dxa"/>
              <w:start w:w="90" w:type="dxa"/>
              <w:bottom w:w="80" w:type="dxa"/>
              <w:end w:w="90" w:type="dxa"/>
            </w:tcMar>
            <w:vAlign w:val="center"/>
          </w:tcPr>
          <w:p>
            <w:r>
              <w:rPr>
                <w:rFonts w:ascii="Arial" w:hAnsi="Arial"/>
                <w:b w:val="0"/>
                <w:i w:val="0"/>
                <w:sz w:val="19"/>
              </w:rPr>
              <w:t>Mehrperspektivische Konsultation</w:t>
            </w:r>
          </w:p>
        </w:tc>
        <w:tc>
          <w:tcPr>
            <w:tcW w:type="dxa" w:w="3118"/>
            <w:tcMar>
              <w:top w:w="80" w:type="dxa"/>
              <w:start w:w="90" w:type="dxa"/>
              <w:bottom w:w="80" w:type="dxa"/>
              <w:end w:w="90" w:type="dxa"/>
            </w:tcMar>
            <w:vAlign w:val="center"/>
          </w:tcPr>
          <w:p>
            <w:r>
              <w:rPr>
                <w:rFonts w:ascii="Arial" w:hAnsi="Arial"/>
                <w:b w:val="0"/>
                <w:i w:val="0"/>
                <w:sz w:val="19"/>
              </w:rPr>
              <w:t>reduziert blinde Flecken einzelner Systeme</w:t>
            </w:r>
          </w:p>
        </w:tc>
        <w:tc>
          <w:tcPr>
            <w:tcW w:type="dxa" w:w="2835"/>
            <w:tcMar>
              <w:top w:w="80" w:type="dxa"/>
              <w:start w:w="90" w:type="dxa"/>
              <w:bottom w:w="80" w:type="dxa"/>
              <w:end w:w="90" w:type="dxa"/>
            </w:tcMar>
            <w:vAlign w:val="center"/>
          </w:tcPr>
          <w:p>
            <w:r>
              <w:rPr>
                <w:rFonts w:ascii="Arial" w:hAnsi="Arial"/>
                <w:b w:val="0"/>
                <w:i w:val="0"/>
                <w:sz w:val="19"/>
              </w:rPr>
              <w:t>mehr einzigartige Insights pro Fragestellung</w:t>
            </w:r>
          </w:p>
        </w:tc>
      </w:tr>
      <w:tr>
        <w:tc>
          <w:tcPr>
            <w:tcW w:type="dxa" w:w="2835"/>
            <w:tcMar>
              <w:top w:w="80" w:type="dxa"/>
              <w:start w:w="90" w:type="dxa"/>
              <w:bottom w:w="80" w:type="dxa"/>
              <w:end w:w="90" w:type="dxa"/>
            </w:tcMar>
            <w:vAlign w:val="center"/>
          </w:tcPr>
          <w:p>
            <w:r>
              <w:rPr>
                <w:rFonts w:ascii="Arial" w:hAnsi="Arial"/>
                <w:b w:val="0"/>
                <w:i w:val="0"/>
                <w:sz w:val="19"/>
              </w:rPr>
              <w:t>Transparente Divergenzanalyse</w:t>
            </w:r>
          </w:p>
        </w:tc>
        <w:tc>
          <w:tcPr>
            <w:tcW w:type="dxa" w:w="3118"/>
            <w:tcMar>
              <w:top w:w="80" w:type="dxa"/>
              <w:start w:w="90" w:type="dxa"/>
              <w:bottom w:w="80" w:type="dxa"/>
              <w:end w:w="90" w:type="dxa"/>
            </w:tcMar>
            <w:vAlign w:val="center"/>
          </w:tcPr>
          <w:p>
            <w:r>
              <w:rPr>
                <w:rFonts w:ascii="Arial" w:hAnsi="Arial"/>
                <w:b w:val="0"/>
                <w:i w:val="0"/>
                <w:sz w:val="19"/>
              </w:rPr>
              <w:t>macht Trade-offs explizit statt implizit</w:t>
            </w:r>
          </w:p>
        </w:tc>
        <w:tc>
          <w:tcPr>
            <w:tcW w:type="dxa" w:w="2835"/>
            <w:tcMar>
              <w:top w:w="80" w:type="dxa"/>
              <w:start w:w="90" w:type="dxa"/>
              <w:bottom w:w="80" w:type="dxa"/>
              <w:end w:w="90" w:type="dxa"/>
            </w:tcMar>
            <w:vAlign w:val="center"/>
          </w:tcPr>
          <w:p>
            <w:r>
              <w:rPr>
                <w:rFonts w:ascii="Arial" w:hAnsi="Arial"/>
                <w:b w:val="0"/>
                <w:i w:val="0"/>
                <w:sz w:val="19"/>
              </w:rPr>
              <w:t>klar dokumentierte Konfliktpunkte und Begründungen</w:t>
            </w:r>
          </w:p>
        </w:tc>
      </w:tr>
      <w:tr>
        <w:tc>
          <w:tcPr>
            <w:tcW w:type="dxa" w:w="2835"/>
            <w:tcMar>
              <w:top w:w="80" w:type="dxa"/>
              <w:start w:w="90" w:type="dxa"/>
              <w:bottom w:w="80" w:type="dxa"/>
              <w:end w:w="90" w:type="dxa"/>
            </w:tcMar>
            <w:vAlign w:val="center"/>
          </w:tcPr>
          <w:p>
            <w:r>
              <w:rPr>
                <w:rFonts w:ascii="Arial" w:hAnsi="Arial"/>
                <w:b w:val="0"/>
                <w:i w:val="0"/>
                <w:sz w:val="19"/>
              </w:rPr>
              <w:t>Menschliche Synthese mit Protokoll</w:t>
            </w:r>
          </w:p>
        </w:tc>
        <w:tc>
          <w:tcPr>
            <w:tcW w:type="dxa" w:w="3118"/>
            <w:tcMar>
              <w:top w:w="80" w:type="dxa"/>
              <w:start w:w="90" w:type="dxa"/>
              <w:bottom w:w="80" w:type="dxa"/>
              <w:end w:w="90" w:type="dxa"/>
            </w:tcMar>
            <w:vAlign w:val="center"/>
          </w:tcPr>
          <w:p>
            <w:r>
              <w:rPr>
                <w:rFonts w:ascii="Arial" w:hAnsi="Arial"/>
                <w:b w:val="0"/>
                <w:i w:val="0"/>
                <w:sz w:val="19"/>
              </w:rPr>
              <w:t>erhält Urteilskraft und Verantwortlichkeit</w:t>
            </w:r>
          </w:p>
        </w:tc>
        <w:tc>
          <w:tcPr>
            <w:tcW w:type="dxa" w:w="2835"/>
            <w:tcMar>
              <w:top w:w="80" w:type="dxa"/>
              <w:start w:w="90" w:type="dxa"/>
              <w:bottom w:w="80" w:type="dxa"/>
              <w:end w:w="90" w:type="dxa"/>
            </w:tcMar>
            <w:vAlign w:val="center"/>
          </w:tcPr>
          <w:p>
            <w:r>
              <w:rPr>
                <w:rFonts w:ascii="Arial" w:hAnsi="Arial"/>
                <w:b w:val="0"/>
                <w:i w:val="0"/>
                <w:sz w:val="19"/>
              </w:rPr>
              <w:t>nachvollziehbare Entscheidungen mit wiederverwendbaren Logs</w:t>
            </w:r>
          </w:p>
        </w:tc>
      </w:tr>
    </w:tbl>
    <w:p>
      <w:pPr>
        <w:pStyle w:val="Heading1"/>
        <w:spacing w:after="160" w:line="276" w:lineRule="auto"/>
      </w:pPr>
      <w:r>
        <w:rPr>
          <w:rFonts w:ascii="Arial" w:hAnsi="Arial"/>
          <w:b w:val="0"/>
          <w:i w:val="0"/>
          <w:sz w:val="22"/>
        </w:rPr>
        <w:t>2. Zweck, Scope und Begriffsrahmen</w:t>
      </w:r>
    </w:p>
    <w:p>
      <w:pPr>
        <w:pStyle w:val="Heading2"/>
        <w:spacing w:after="40" w:line="276" w:lineRule="auto"/>
      </w:pPr>
      <w:r>
        <w:rPr>
          <w:rFonts w:ascii="Arial" w:hAnsi="Arial"/>
          <w:b w:val="0"/>
          <w:i w:val="0"/>
          <w:sz w:val="22"/>
        </w:rPr>
        <w:t>2.1 Zweck</w:t>
      </w:r>
    </w:p>
    <w:p>
      <w:pPr>
        <w:pStyle w:val="ListBullet"/>
        <w:spacing w:after="60" w:line="264" w:lineRule="auto"/>
        <w:ind w:left="227"/>
      </w:pPr>
      <w:r>
        <w:rPr>
          <w:rFonts w:ascii="Arial" w:hAnsi="Arial"/>
          <w:b w:val="0"/>
          <w:i w:val="0"/>
          <w:sz w:val="21"/>
        </w:rPr>
        <w:t>komplexe Fragestellungen mit konkurrierenden Perspektiven strukturieren</w:t>
      </w:r>
    </w:p>
    <w:p>
      <w:pPr>
        <w:pStyle w:val="ListBullet"/>
        <w:spacing w:after="60" w:line="264" w:lineRule="auto"/>
        <w:ind w:left="227"/>
      </w:pPr>
      <w:r>
        <w:rPr>
          <w:rFonts w:ascii="Arial" w:hAnsi="Arial"/>
          <w:b w:val="0"/>
          <w:i w:val="0"/>
          <w:sz w:val="21"/>
        </w:rPr>
        <w:t>Entscheidungsrationalen für Paper, Förderanträge und Architekturentscheidungen dokumentieren</w:t>
      </w:r>
    </w:p>
    <w:p>
      <w:pPr>
        <w:pStyle w:val="ListBullet"/>
        <w:spacing w:after="60" w:line="264" w:lineRule="auto"/>
        <w:ind w:left="227"/>
      </w:pPr>
      <w:r>
        <w:rPr>
          <w:rFonts w:ascii="Arial" w:hAnsi="Arial"/>
          <w:b w:val="0"/>
          <w:i w:val="0"/>
          <w:sz w:val="21"/>
        </w:rPr>
        <w:t>PLURALIS-inspirierte föderierte Deliberation in einem kontrollierten, kleinen Rahmen praktisch erproben</w:t>
      </w:r>
    </w:p>
    <w:p>
      <w:pPr>
        <w:pStyle w:val="Heading2"/>
        <w:spacing w:after="40" w:line="276" w:lineRule="auto"/>
      </w:pPr>
      <w:r>
        <w:rPr>
          <w:rFonts w:ascii="Arial" w:hAnsi="Arial"/>
          <w:b w:val="0"/>
          <w:i w:val="0"/>
          <w:sz w:val="22"/>
        </w:rPr>
        <w:t>2.2 Abgrenzung</w:t>
      </w:r>
    </w:p>
    <w:p>
      <w:pPr>
        <w:pStyle w:val="ListBullet"/>
        <w:spacing w:after="60" w:line="264" w:lineRule="auto"/>
        <w:ind w:left="227"/>
      </w:pPr>
      <w:r>
        <w:rPr>
          <w:rFonts w:ascii="Arial" w:hAnsi="Arial"/>
          <w:b w:val="0"/>
          <w:i w:val="0"/>
          <w:sz w:val="21"/>
        </w:rPr>
        <w:t>KOBI ist kein autonomes Steuerungssystem und kein Ersatz für menschliches Urteil.</w:t>
      </w:r>
    </w:p>
    <w:p>
      <w:pPr>
        <w:pStyle w:val="ListBullet"/>
        <w:spacing w:after="60" w:line="264" w:lineRule="auto"/>
        <w:ind w:left="227"/>
      </w:pPr>
      <w:r>
        <w:rPr>
          <w:rFonts w:ascii="Arial" w:hAnsi="Arial"/>
          <w:b w:val="0"/>
          <w:i w:val="0"/>
          <w:sz w:val="21"/>
        </w:rPr>
        <w:t>KOBI ist nicht identisch mit SKI; es bildet ausgewählte SKI-Funktionen prototypisch ab.</w:t>
      </w:r>
    </w:p>
    <w:p>
      <w:pPr>
        <w:pStyle w:val="ListBullet"/>
        <w:spacing w:after="60" w:line="264" w:lineRule="auto"/>
        <w:ind w:left="227"/>
      </w:pPr>
      <w:r>
        <w:rPr>
          <w:rFonts w:ascii="Arial" w:hAnsi="Arial"/>
          <w:b w:val="0"/>
          <w:i w:val="0"/>
          <w:sz w:val="21"/>
        </w:rPr>
        <w:t>KOBI ist primär ein Prozess- und Dokumentationsstandard, sekundär eine Softwareoberfläche.</w:t>
      </w:r>
    </w:p>
    <w:p>
      <w:pPr>
        <w:pStyle w:val="Heading2"/>
        <w:spacing w:after="80" w:line="276" w:lineRule="auto"/>
      </w:pPr>
      <w:r>
        <w:rPr>
          <w:rFonts w:ascii="Arial" w:hAnsi="Arial"/>
          <w:b w:val="0"/>
          <w:i w:val="0"/>
          <w:sz w:val="22"/>
        </w:rPr>
        <w:t>2.3 Definitionen</w:t>
      </w:r>
    </w:p>
    <w:tbl>
      <w:tblPr>
        <w:tblW w:type="auto" w:w="0"/>
        <w:jc w:val="center"/>
        <w:tblLayout w:type="fixed"/>
        <w:tblLook w:firstColumn="1" w:firstRow="1" w:lastColumn="0" w:lastRow="0" w:noHBand="0" w:noVBand="1" w:val="04A0"/>
      </w:tblPr>
      <w:tblGrid>
        <w:gridCol w:w="2381"/>
        <w:gridCol w:w="6803"/>
      </w:tblGrid>
      <w:tr>
        <w:tc>
          <w:tcPr>
            <w:tcW w:type="dxa" w:w="4986"/>
            <w:shd w:fill="EAF2F8"/>
            <w:tcMar>
              <w:top w:w="80" w:type="dxa"/>
              <w:start w:w="90" w:type="dxa"/>
              <w:bottom w:w="80" w:type="dxa"/>
              <w:end w:w="90" w:type="dxa"/>
            </w:tcMar>
          </w:tcPr>
          <w:p>
            <w:r>
              <w:rPr>
                <w:rFonts w:ascii="Arial" w:hAnsi="Arial"/>
                <w:b/>
                <w:i w:val="0"/>
                <w:color w:val="1F4E79"/>
                <w:sz w:val="19"/>
              </w:rPr>
              <w:t>Begriff</w:t>
            </w:r>
          </w:p>
        </w:tc>
        <w:tc>
          <w:tcPr>
            <w:tcW w:type="dxa" w:w="4986"/>
            <w:shd w:fill="EAF2F8"/>
            <w:tcMar>
              <w:top w:w="80" w:type="dxa"/>
              <w:start w:w="90" w:type="dxa"/>
              <w:bottom w:w="80" w:type="dxa"/>
              <w:end w:w="90" w:type="dxa"/>
            </w:tcMar>
          </w:tcPr>
          <w:p>
            <w:r>
              <w:rPr>
                <w:rFonts w:ascii="Arial" w:hAnsi="Arial"/>
                <w:b/>
                <w:i w:val="0"/>
                <w:color w:val="1F4E79"/>
                <w:sz w:val="19"/>
              </w:rPr>
              <w:t>Arbeitsdefinition</w:t>
            </w:r>
          </w:p>
        </w:tc>
      </w:tr>
      <w:tr>
        <w:tc>
          <w:tcPr>
            <w:tcW w:type="dxa" w:w="2381"/>
            <w:tcMar>
              <w:top w:w="80" w:type="dxa"/>
              <w:start w:w="90" w:type="dxa"/>
              <w:bottom w:w="80" w:type="dxa"/>
              <w:end w:w="90" w:type="dxa"/>
            </w:tcMar>
          </w:tcPr>
          <w:p>
            <w:r>
              <w:rPr>
                <w:rFonts w:ascii="Arial" w:hAnsi="Arial"/>
                <w:b/>
                <w:i w:val="0"/>
                <w:sz w:val="19"/>
              </w:rPr>
              <w:t>CPK</w:t>
            </w:r>
          </w:p>
        </w:tc>
        <w:tc>
          <w:tcPr>
            <w:tcW w:type="dxa" w:w="6803"/>
            <w:tcMar>
              <w:top w:w="80" w:type="dxa"/>
              <w:start w:w="90" w:type="dxa"/>
              <w:bottom w:w="80" w:type="dxa"/>
              <w:end w:w="90" w:type="dxa"/>
            </w:tcMar>
          </w:tcPr>
          <w:p>
            <w:r>
              <w:rPr>
                <w:rFonts w:ascii="Arial" w:hAnsi="Arial"/>
                <w:b w:val="0"/>
                <w:i w:val="0"/>
                <w:sz w:val="19"/>
              </w:rPr>
              <w:t>Ein konsultiertes KI-System mit erkennbarer Perspektive, Stärke oder Spezialisierung.</w:t>
            </w:r>
          </w:p>
        </w:tc>
      </w:tr>
      <w:tr>
        <w:tc>
          <w:tcPr>
            <w:tcW w:type="dxa" w:w="2381"/>
            <w:tcMar>
              <w:top w:w="80" w:type="dxa"/>
              <w:start w:w="90" w:type="dxa"/>
              <w:bottom w:w="80" w:type="dxa"/>
              <w:end w:w="90" w:type="dxa"/>
            </w:tcMar>
          </w:tcPr>
          <w:p>
            <w:r>
              <w:rPr>
                <w:rFonts w:ascii="Arial" w:hAnsi="Arial"/>
                <w:b/>
                <w:i w:val="0"/>
                <w:sz w:val="19"/>
              </w:rPr>
              <w:t>Divergenz</w:t>
            </w:r>
          </w:p>
        </w:tc>
        <w:tc>
          <w:tcPr>
            <w:tcW w:type="dxa" w:w="6803"/>
            <w:tcMar>
              <w:top w:w="80" w:type="dxa"/>
              <w:start w:w="90" w:type="dxa"/>
              <w:bottom w:w="80" w:type="dxa"/>
              <w:end w:w="90" w:type="dxa"/>
            </w:tcMar>
          </w:tcPr>
          <w:p>
            <w:r>
              <w:rPr>
                <w:rFonts w:ascii="Arial" w:hAnsi="Arial"/>
                <w:b w:val="0"/>
                <w:i w:val="0"/>
                <w:sz w:val="19"/>
              </w:rPr>
              <w:t>inhaltlicher Unterschied zwischen Antworten, der einen Trade-off, Informationsmangel oder Perspektivkonflikt sichtbar macht.</w:t>
            </w:r>
          </w:p>
        </w:tc>
      </w:tr>
      <w:tr>
        <w:tc>
          <w:tcPr>
            <w:tcW w:type="dxa" w:w="2381"/>
            <w:tcMar>
              <w:top w:w="80" w:type="dxa"/>
              <w:start w:w="90" w:type="dxa"/>
              <w:bottom w:w="80" w:type="dxa"/>
              <w:end w:w="90" w:type="dxa"/>
            </w:tcMar>
          </w:tcPr>
          <w:p>
            <w:r>
              <w:rPr>
                <w:rFonts w:ascii="Arial" w:hAnsi="Arial"/>
                <w:b/>
                <w:i w:val="0"/>
                <w:sz w:val="19"/>
              </w:rPr>
              <w:t>Synthese</w:t>
            </w:r>
          </w:p>
        </w:tc>
        <w:tc>
          <w:tcPr>
            <w:tcW w:type="dxa" w:w="6803"/>
            <w:tcMar>
              <w:top w:w="80" w:type="dxa"/>
              <w:start w:w="90" w:type="dxa"/>
              <w:bottom w:w="80" w:type="dxa"/>
              <w:end w:w="90" w:type="dxa"/>
            </w:tcMar>
          </w:tcPr>
          <w:p>
            <w:r>
              <w:rPr>
                <w:rFonts w:ascii="Arial" w:hAnsi="Arial"/>
                <w:b w:val="0"/>
                <w:i w:val="0"/>
                <w:sz w:val="19"/>
              </w:rPr>
              <w:t>begründete menschliche Integration der relevantesten Beiträge; nicht Mittelwert, sondern Urteil.</w:t>
            </w:r>
          </w:p>
        </w:tc>
      </w:tr>
      <w:tr>
        <w:tc>
          <w:tcPr>
            <w:tcW w:type="dxa" w:w="2381"/>
            <w:tcMar>
              <w:top w:w="80" w:type="dxa"/>
              <w:start w:w="90" w:type="dxa"/>
              <w:bottom w:w="80" w:type="dxa"/>
              <w:end w:w="90" w:type="dxa"/>
            </w:tcMar>
          </w:tcPr>
          <w:p>
            <w:r>
              <w:rPr>
                <w:rFonts w:ascii="Arial" w:hAnsi="Arial"/>
                <w:b/>
                <w:i w:val="0"/>
                <w:sz w:val="19"/>
              </w:rPr>
              <w:t>KOBI-Log</w:t>
            </w:r>
          </w:p>
        </w:tc>
        <w:tc>
          <w:tcPr>
            <w:tcW w:type="dxa" w:w="6803"/>
            <w:tcMar>
              <w:top w:w="80" w:type="dxa"/>
              <w:start w:w="90" w:type="dxa"/>
              <w:bottom w:w="80" w:type="dxa"/>
              <w:end w:w="90" w:type="dxa"/>
            </w:tcMar>
          </w:tcPr>
          <w:p>
            <w:r>
              <w:rPr>
                <w:rFonts w:ascii="Arial" w:hAnsi="Arial"/>
                <w:b w:val="0"/>
                <w:i w:val="0"/>
                <w:sz w:val="19"/>
              </w:rPr>
              <w:t>standardisierte Dokumentation von Frage, Antworten, Divergenzen, Synthese, offenen Punkten und Folgehandlungen.</w:t>
            </w:r>
          </w:p>
        </w:tc>
      </w:tr>
    </w:tbl>
    <w:p>
      <w:pPr>
        <w:pStyle w:val="Heading1"/>
        <w:spacing w:after="160" w:line="276" w:lineRule="auto"/>
      </w:pPr>
      <w:r>
        <w:rPr>
          <w:rFonts w:ascii="Arial" w:hAnsi="Arial"/>
          <w:b w:val="0"/>
          <w:i w:val="0"/>
          <w:sz w:val="22"/>
        </w:rPr>
        <w:t>3. Rollenmodell und Verantwortlichkeiten</w:t>
      </w:r>
    </w:p>
    <w:p>
      <w:pPr>
        <w:spacing w:after="120" w:line="276" w:lineRule="auto"/>
      </w:pPr>
      <w:r>
        <w:rPr>
          <w:rFonts w:ascii="Arial" w:hAnsi="Arial"/>
          <w:b w:val="0"/>
          <w:i w:val="0"/>
          <w:sz w:val="21"/>
        </w:rPr>
        <w:t>KOBI funktioniert nur dann belastbar, wenn Rollen klar getrennt sind: Perspektiveneinspeisung, Analyse, Synthese und Dokumentation dürfen zwar praktisch von einer Person koordiniert werden, sollten aber begrifflich nicht vermischt werden.</w:t>
      </w:r>
    </w:p>
    <w:tbl>
      <w:tblPr>
        <w:tblW w:type="auto" w:w="0"/>
        <w:jc w:val="center"/>
        <w:tblLayout w:type="fixed"/>
        <w:tblLook w:firstColumn="1" w:firstRow="1" w:lastColumn="0" w:lastRow="0" w:noHBand="0" w:noVBand="1" w:val="04A0"/>
      </w:tblPr>
      <w:tblGrid>
        <w:gridCol w:w="1757"/>
        <w:gridCol w:w="2381"/>
        <w:gridCol w:w="2835"/>
        <w:gridCol w:w="2268"/>
      </w:tblGrid>
      <w:tr>
        <w:tc>
          <w:tcPr>
            <w:tcW w:type="dxa" w:w="2493"/>
            <w:shd w:fill="DCE6F1"/>
            <w:tcMar>
              <w:top w:w="80" w:type="dxa"/>
              <w:start w:w="90" w:type="dxa"/>
              <w:bottom w:w="80" w:type="dxa"/>
              <w:end w:w="90" w:type="dxa"/>
            </w:tcMar>
          </w:tcPr>
          <w:p>
            <w:pPr>
              <w:jc w:val="center"/>
            </w:pPr>
            <w:r>
              <w:rPr>
                <w:rFonts w:ascii="Arial" w:hAnsi="Arial"/>
                <w:b/>
                <w:i w:val="0"/>
                <w:color w:val="1F4E79"/>
                <w:sz w:val="19"/>
              </w:rPr>
              <w:t>Rolle</w:t>
            </w:r>
          </w:p>
        </w:tc>
        <w:tc>
          <w:tcPr>
            <w:tcW w:type="dxa" w:w="2493"/>
            <w:shd w:fill="DCE6F1"/>
            <w:tcMar>
              <w:top w:w="80" w:type="dxa"/>
              <w:start w:w="90" w:type="dxa"/>
              <w:bottom w:w="80" w:type="dxa"/>
              <w:end w:w="90" w:type="dxa"/>
            </w:tcMar>
          </w:tcPr>
          <w:p>
            <w:pPr>
              <w:jc w:val="center"/>
            </w:pPr>
            <w:r>
              <w:rPr>
                <w:rFonts w:ascii="Arial" w:hAnsi="Arial"/>
                <w:b/>
                <w:i w:val="0"/>
                <w:color w:val="1F4E79"/>
                <w:sz w:val="19"/>
              </w:rPr>
              <w:t>Primäre Funktion</w:t>
            </w:r>
          </w:p>
        </w:tc>
        <w:tc>
          <w:tcPr>
            <w:tcW w:type="dxa" w:w="2493"/>
            <w:shd w:fill="DCE6F1"/>
            <w:tcMar>
              <w:top w:w="80" w:type="dxa"/>
              <w:start w:w="90" w:type="dxa"/>
              <w:bottom w:w="80" w:type="dxa"/>
              <w:end w:w="90" w:type="dxa"/>
            </w:tcMar>
          </w:tcPr>
          <w:p>
            <w:pPr>
              <w:jc w:val="center"/>
            </w:pPr>
            <w:r>
              <w:rPr>
                <w:rFonts w:ascii="Arial" w:hAnsi="Arial"/>
                <w:b/>
                <w:i w:val="0"/>
                <w:color w:val="1F4E79"/>
                <w:sz w:val="19"/>
              </w:rPr>
              <w:t>Typischer Mehrwert</w:t>
            </w:r>
          </w:p>
        </w:tc>
        <w:tc>
          <w:tcPr>
            <w:tcW w:type="dxa" w:w="2493"/>
            <w:shd w:fill="DCE6F1"/>
            <w:tcMar>
              <w:top w:w="80" w:type="dxa"/>
              <w:start w:w="90" w:type="dxa"/>
              <w:bottom w:w="80" w:type="dxa"/>
              <w:end w:w="90" w:type="dxa"/>
            </w:tcMar>
          </w:tcPr>
          <w:p>
            <w:pPr>
              <w:jc w:val="center"/>
            </w:pPr>
            <w:r>
              <w:rPr>
                <w:rFonts w:ascii="Arial" w:hAnsi="Arial"/>
                <w:b/>
                <w:i w:val="0"/>
                <w:color w:val="1F4E79"/>
                <w:sz w:val="19"/>
              </w:rPr>
              <w:t>Risiko bei Überdehnung</w:t>
            </w:r>
          </w:p>
        </w:tc>
      </w:tr>
      <w:tr>
        <w:tc>
          <w:tcPr>
            <w:tcW w:type="dxa" w:w="1757"/>
            <w:tcMar>
              <w:top w:w="80" w:type="dxa"/>
              <w:start w:w="90" w:type="dxa"/>
              <w:bottom w:w="80" w:type="dxa"/>
              <w:end w:w="90" w:type="dxa"/>
            </w:tcMar>
          </w:tcPr>
          <w:p>
            <w:r>
              <w:rPr>
                <w:rFonts w:ascii="Arial" w:hAnsi="Arial"/>
                <w:b w:val="0"/>
                <w:i w:val="0"/>
                <w:sz w:val="18"/>
              </w:rPr>
              <w:t>CPKs</w:t>
            </w:r>
          </w:p>
        </w:tc>
        <w:tc>
          <w:tcPr>
            <w:tcW w:type="dxa" w:w="2381"/>
            <w:tcMar>
              <w:top w:w="80" w:type="dxa"/>
              <w:start w:w="90" w:type="dxa"/>
              <w:bottom w:w="80" w:type="dxa"/>
              <w:end w:w="90" w:type="dxa"/>
            </w:tcMar>
          </w:tcPr>
          <w:p>
            <w:r>
              <w:rPr>
                <w:rFonts w:ascii="Arial" w:hAnsi="Arial"/>
                <w:b w:val="0"/>
                <w:i w:val="0"/>
                <w:sz w:val="18"/>
              </w:rPr>
              <w:t>antworten aus unterschiedlichen Modell- oder Perspektivprofilen</w:t>
            </w:r>
          </w:p>
        </w:tc>
        <w:tc>
          <w:tcPr>
            <w:tcW w:type="dxa" w:w="2835"/>
            <w:tcMar>
              <w:top w:w="80" w:type="dxa"/>
              <w:start w:w="90" w:type="dxa"/>
              <w:bottom w:w="80" w:type="dxa"/>
              <w:end w:w="90" w:type="dxa"/>
            </w:tcMar>
          </w:tcPr>
          <w:p>
            <w:r>
              <w:rPr>
                <w:rFonts w:ascii="Arial" w:hAnsi="Arial"/>
                <w:b w:val="0"/>
                <w:i w:val="0"/>
                <w:sz w:val="18"/>
              </w:rPr>
              <w:t>komplementäre Sichtweisen, alternative Heuristiken, andere Fehlermuster</w:t>
            </w:r>
          </w:p>
        </w:tc>
        <w:tc>
          <w:tcPr>
            <w:tcW w:type="dxa" w:w="2268"/>
            <w:tcMar>
              <w:top w:w="80" w:type="dxa"/>
              <w:start w:w="90" w:type="dxa"/>
              <w:bottom w:w="80" w:type="dxa"/>
              <w:end w:w="90" w:type="dxa"/>
            </w:tcMar>
          </w:tcPr>
          <w:p>
            <w:r>
              <w:rPr>
                <w:rFonts w:ascii="Arial" w:hAnsi="Arial"/>
                <w:b w:val="0"/>
                <w:i w:val="0"/>
                <w:sz w:val="18"/>
              </w:rPr>
              <w:t>Duplikation oder Scheindiversität</w:t>
            </w:r>
          </w:p>
        </w:tc>
      </w:tr>
      <w:tr>
        <w:tc>
          <w:tcPr>
            <w:tcW w:type="dxa" w:w="1757"/>
            <w:tcMar>
              <w:top w:w="80" w:type="dxa"/>
              <w:start w:w="90" w:type="dxa"/>
              <w:bottom w:w="80" w:type="dxa"/>
              <w:end w:w="90" w:type="dxa"/>
            </w:tcMar>
          </w:tcPr>
          <w:p>
            <w:r>
              <w:rPr>
                <w:rFonts w:ascii="Arial" w:hAnsi="Arial"/>
                <w:b w:val="0"/>
                <w:i w:val="0"/>
                <w:sz w:val="18"/>
              </w:rPr>
              <w:t>Human Synthesizer</w:t>
            </w:r>
          </w:p>
        </w:tc>
        <w:tc>
          <w:tcPr>
            <w:tcW w:type="dxa" w:w="2381"/>
            <w:tcMar>
              <w:top w:w="80" w:type="dxa"/>
              <w:start w:w="90" w:type="dxa"/>
              <w:bottom w:w="80" w:type="dxa"/>
              <w:end w:w="90" w:type="dxa"/>
            </w:tcMar>
          </w:tcPr>
          <w:p>
            <w:r>
              <w:rPr>
                <w:rFonts w:ascii="Arial" w:hAnsi="Arial"/>
                <w:b w:val="0"/>
                <w:i w:val="0"/>
                <w:sz w:val="18"/>
              </w:rPr>
              <w:t>bewertet Relevanz, gewichtet Expertise, trifft Synthese</w:t>
            </w:r>
          </w:p>
        </w:tc>
        <w:tc>
          <w:tcPr>
            <w:tcW w:type="dxa" w:w="2835"/>
            <w:tcMar>
              <w:top w:w="80" w:type="dxa"/>
              <w:start w:w="90" w:type="dxa"/>
              <w:bottom w:w="80" w:type="dxa"/>
              <w:end w:w="90" w:type="dxa"/>
            </w:tcMar>
          </w:tcPr>
          <w:p>
            <w:r>
              <w:rPr>
                <w:rFonts w:ascii="Arial" w:hAnsi="Arial"/>
                <w:b w:val="0"/>
                <w:i w:val="0"/>
                <w:sz w:val="18"/>
              </w:rPr>
              <w:t>Verantwortlichkeit, Kontextwissen, normative Entscheidungskraft</w:t>
            </w:r>
          </w:p>
        </w:tc>
        <w:tc>
          <w:tcPr>
            <w:tcW w:type="dxa" w:w="2268"/>
            <w:tcMar>
              <w:top w:w="80" w:type="dxa"/>
              <w:start w:w="90" w:type="dxa"/>
              <w:bottom w:w="80" w:type="dxa"/>
              <w:end w:w="90" w:type="dxa"/>
            </w:tcMar>
          </w:tcPr>
          <w:p>
            <w:r>
              <w:rPr>
                <w:rFonts w:ascii="Arial" w:hAnsi="Arial"/>
                <w:b w:val="0"/>
                <w:i w:val="0"/>
                <w:sz w:val="18"/>
              </w:rPr>
              <w:t>Bias, Engpass, inkonsistente Gewichtung</w:t>
            </w:r>
          </w:p>
        </w:tc>
      </w:tr>
      <w:tr>
        <w:tc>
          <w:tcPr>
            <w:tcW w:type="dxa" w:w="1757"/>
            <w:tcMar>
              <w:top w:w="80" w:type="dxa"/>
              <w:start w:w="90" w:type="dxa"/>
              <w:bottom w:w="80" w:type="dxa"/>
              <w:end w:w="90" w:type="dxa"/>
            </w:tcMar>
          </w:tcPr>
          <w:p>
            <w:r>
              <w:rPr>
                <w:rFonts w:ascii="Arial" w:hAnsi="Arial"/>
                <w:b w:val="0"/>
                <w:i w:val="0"/>
                <w:sz w:val="18"/>
              </w:rPr>
              <w:t>Dokumentationsfunktion</w:t>
            </w:r>
          </w:p>
        </w:tc>
        <w:tc>
          <w:tcPr>
            <w:tcW w:type="dxa" w:w="2381"/>
            <w:tcMar>
              <w:top w:w="80" w:type="dxa"/>
              <w:start w:w="90" w:type="dxa"/>
              <w:bottom w:w="80" w:type="dxa"/>
              <w:end w:w="90" w:type="dxa"/>
            </w:tcMar>
          </w:tcPr>
          <w:p>
            <w:r>
              <w:rPr>
                <w:rFonts w:ascii="Arial" w:hAnsi="Arial"/>
                <w:b w:val="0"/>
                <w:i w:val="0"/>
                <w:sz w:val="18"/>
              </w:rPr>
              <w:t>überführt deliberative Arbeit in auditierbare Logs</w:t>
            </w:r>
          </w:p>
        </w:tc>
        <w:tc>
          <w:tcPr>
            <w:tcW w:type="dxa" w:w="2835"/>
            <w:tcMar>
              <w:top w:w="80" w:type="dxa"/>
              <w:start w:w="90" w:type="dxa"/>
              <w:bottom w:w="80" w:type="dxa"/>
              <w:end w:w="90" w:type="dxa"/>
            </w:tcMar>
          </w:tcPr>
          <w:p>
            <w:r>
              <w:rPr>
                <w:rFonts w:ascii="Arial" w:hAnsi="Arial"/>
                <w:b w:val="0"/>
                <w:i w:val="0"/>
                <w:sz w:val="18"/>
              </w:rPr>
              <w:t>Reproduzierbarkeit, spätere Auswertung, Förder- und Paper-Tauglichkeit</w:t>
            </w:r>
          </w:p>
        </w:tc>
        <w:tc>
          <w:tcPr>
            <w:tcW w:type="dxa" w:w="2268"/>
            <w:tcMar>
              <w:top w:w="80" w:type="dxa"/>
              <w:start w:w="90" w:type="dxa"/>
              <w:bottom w:w="80" w:type="dxa"/>
              <w:end w:w="90" w:type="dxa"/>
            </w:tcMar>
          </w:tcPr>
          <w:p>
            <w:r>
              <w:rPr>
                <w:rFonts w:ascii="Arial" w:hAnsi="Arial"/>
                <w:b w:val="0"/>
                <w:i w:val="0"/>
                <w:sz w:val="18"/>
              </w:rPr>
              <w:t>Informationsverlust oder nachträgliche Verzerrung</w:t>
            </w:r>
          </w:p>
        </w:tc>
      </w:tr>
      <w:tr>
        <w:tc>
          <w:tcPr>
            <w:tcW w:type="dxa" w:w="1757"/>
            <w:tcMar>
              <w:top w:w="80" w:type="dxa"/>
              <w:start w:w="90" w:type="dxa"/>
              <w:bottom w:w="80" w:type="dxa"/>
              <w:end w:w="90" w:type="dxa"/>
            </w:tcMar>
          </w:tcPr>
          <w:p>
            <w:r>
              <w:rPr>
                <w:rFonts w:ascii="Arial" w:hAnsi="Arial"/>
                <w:b w:val="0"/>
                <w:i w:val="0"/>
                <w:sz w:val="18"/>
              </w:rPr>
              <w:t>Software-Layer</w:t>
            </w:r>
          </w:p>
        </w:tc>
        <w:tc>
          <w:tcPr>
            <w:tcW w:type="dxa" w:w="2381"/>
            <w:tcMar>
              <w:top w:w="80" w:type="dxa"/>
              <w:start w:w="90" w:type="dxa"/>
              <w:bottom w:w="80" w:type="dxa"/>
              <w:end w:w="90" w:type="dxa"/>
            </w:tcMar>
          </w:tcPr>
          <w:p>
            <w:r>
              <w:rPr>
                <w:rFonts w:ascii="Arial" w:hAnsi="Arial"/>
                <w:b w:val="0"/>
                <w:i w:val="0"/>
                <w:sz w:val="18"/>
              </w:rPr>
              <w:t>erfasst Inputs, strukturiert Vergleich und Export</w:t>
            </w:r>
          </w:p>
        </w:tc>
        <w:tc>
          <w:tcPr>
            <w:tcW w:type="dxa" w:w="2835"/>
            <w:tcMar>
              <w:top w:w="80" w:type="dxa"/>
              <w:start w:w="90" w:type="dxa"/>
              <w:bottom w:w="80" w:type="dxa"/>
              <w:end w:w="90" w:type="dxa"/>
            </w:tcMar>
          </w:tcPr>
          <w:p>
            <w:r>
              <w:rPr>
                <w:rFonts w:ascii="Arial" w:hAnsi="Arial"/>
                <w:b w:val="0"/>
                <w:i w:val="0"/>
                <w:sz w:val="18"/>
              </w:rPr>
              <w:t>Geschwindigkeit, Standardisierung, geringere Reibung</w:t>
            </w:r>
          </w:p>
        </w:tc>
        <w:tc>
          <w:tcPr>
            <w:tcW w:type="dxa" w:w="2268"/>
            <w:tcMar>
              <w:top w:w="80" w:type="dxa"/>
              <w:start w:w="90" w:type="dxa"/>
              <w:bottom w:w="80" w:type="dxa"/>
              <w:end w:w="90" w:type="dxa"/>
            </w:tcMar>
          </w:tcPr>
          <w:p>
            <w:r>
              <w:rPr>
                <w:rFonts w:ascii="Arial" w:hAnsi="Arial"/>
                <w:b w:val="0"/>
                <w:i w:val="0"/>
                <w:sz w:val="18"/>
              </w:rPr>
              <w:t>falsches Gefühl von Automatisierung oder Objektivität</w:t>
            </w:r>
          </w:p>
        </w:tc>
      </w:tr>
    </w:tbl>
    <w:p>
      <w:pPr>
        <w:pStyle w:val="Heading1"/>
        <w:spacing w:after="160" w:line="276" w:lineRule="auto"/>
      </w:pPr>
      <w:r>
        <w:rPr>
          <w:rFonts w:ascii="Arial" w:hAnsi="Arial"/>
          <w:b w:val="0"/>
          <w:i w:val="0"/>
          <w:sz w:val="22"/>
        </w:rPr>
        <w:t>4. Standardprozess (v1.1)</w:t>
      </w:r>
    </w:p>
    <w:tbl>
      <w:tblPr>
        <w:tblW w:type="auto" w:w="0"/>
        <w:jc w:val="center"/>
        <w:tblLayout w:type="fixed"/>
        <w:tblLook w:firstColumn="1" w:firstRow="1" w:lastColumn="0" w:lastRow="0" w:noHBand="0" w:noVBand="1" w:val="04A0"/>
      </w:tblPr>
      <w:tblGrid>
        <w:gridCol w:w="1928"/>
        <w:gridCol w:w="4819"/>
        <w:gridCol w:w="2835"/>
      </w:tblGrid>
      <w:tr>
        <w:tc>
          <w:tcPr>
            <w:tcW w:type="dxa" w:w="3324"/>
            <w:shd w:fill="EAF2F8"/>
            <w:tcMar>
              <w:top w:w="80" w:type="dxa"/>
              <w:start w:w="90" w:type="dxa"/>
              <w:bottom w:w="80" w:type="dxa"/>
              <w:end w:w="90" w:type="dxa"/>
            </w:tcMar>
          </w:tcPr>
          <w:p>
            <w:r>
              <w:rPr>
                <w:rFonts w:ascii="Arial" w:hAnsi="Arial"/>
                <w:b/>
                <w:i w:val="0"/>
                <w:color w:val="1F4E79"/>
                <w:sz w:val="19"/>
              </w:rPr>
              <w:t>Schritt</w:t>
            </w:r>
          </w:p>
        </w:tc>
        <w:tc>
          <w:tcPr>
            <w:tcW w:type="dxa" w:w="3324"/>
            <w:shd w:fill="EAF2F8"/>
            <w:tcMar>
              <w:top w:w="80" w:type="dxa"/>
              <w:start w:w="90" w:type="dxa"/>
              <w:bottom w:w="80" w:type="dxa"/>
              <w:end w:w="90" w:type="dxa"/>
            </w:tcMar>
          </w:tcPr>
          <w:p>
            <w:r>
              <w:rPr>
                <w:rFonts w:ascii="Arial" w:hAnsi="Arial"/>
                <w:b/>
                <w:i w:val="0"/>
                <w:color w:val="1F4E79"/>
                <w:sz w:val="19"/>
              </w:rPr>
              <w:t>Mindestanforderung</w:t>
            </w:r>
          </w:p>
        </w:tc>
        <w:tc>
          <w:tcPr>
            <w:tcW w:type="dxa" w:w="3324"/>
            <w:shd w:fill="EAF2F8"/>
            <w:tcMar>
              <w:top w:w="80" w:type="dxa"/>
              <w:start w:w="90" w:type="dxa"/>
              <w:bottom w:w="80" w:type="dxa"/>
              <w:end w:w="90" w:type="dxa"/>
            </w:tcMar>
          </w:tcPr>
          <w:p>
            <w:r>
              <w:rPr>
                <w:rFonts w:ascii="Arial" w:hAnsi="Arial"/>
                <w:b/>
                <w:i w:val="0"/>
                <w:color w:val="1F4E79"/>
                <w:sz w:val="19"/>
              </w:rPr>
              <w:t>Output</w:t>
            </w:r>
          </w:p>
        </w:tc>
      </w:tr>
      <w:tr>
        <w:tc>
          <w:tcPr>
            <w:tcW w:type="dxa" w:w="1928"/>
            <w:tcMar>
              <w:top w:w="80" w:type="dxa"/>
              <w:start w:w="90" w:type="dxa"/>
              <w:bottom w:w="80" w:type="dxa"/>
              <w:end w:w="90" w:type="dxa"/>
            </w:tcMar>
          </w:tcPr>
          <w:p>
            <w:r>
              <w:rPr>
                <w:rFonts w:ascii="Arial" w:hAnsi="Arial"/>
                <w:b w:val="0"/>
                <w:i w:val="0"/>
                <w:sz w:val="18"/>
              </w:rPr>
              <w:t>Phase 1 - Frage definieren</w:t>
            </w:r>
          </w:p>
        </w:tc>
        <w:tc>
          <w:tcPr>
            <w:tcW w:type="dxa" w:w="4819"/>
            <w:tcMar>
              <w:top w:w="80" w:type="dxa"/>
              <w:start w:w="90" w:type="dxa"/>
              <w:bottom w:w="80" w:type="dxa"/>
              <w:end w:w="90" w:type="dxa"/>
            </w:tcMar>
          </w:tcPr>
          <w:p>
            <w:r>
              <w:rPr>
                <w:rFonts w:ascii="Arial" w:hAnsi="Arial"/>
                <w:b w:val="0"/>
                <w:i w:val="0"/>
                <w:sz w:val="18"/>
              </w:rPr>
              <w:t>Präzise Problemformulierung, Kontext, Output-Format und Entscheidungshorizont festlegen.</w:t>
            </w:r>
          </w:p>
        </w:tc>
        <w:tc>
          <w:tcPr>
            <w:tcW w:type="dxa" w:w="2835"/>
            <w:tcMar>
              <w:top w:w="80" w:type="dxa"/>
              <w:start w:w="90" w:type="dxa"/>
              <w:bottom w:w="80" w:type="dxa"/>
              <w:end w:w="90" w:type="dxa"/>
            </w:tcMar>
          </w:tcPr>
          <w:p>
            <w:r>
              <w:rPr>
                <w:rFonts w:ascii="Arial" w:hAnsi="Arial"/>
                <w:b w:val="0"/>
                <w:i w:val="0"/>
                <w:sz w:val="18"/>
              </w:rPr>
              <w:t>Frageblatt / Prompt</w:t>
            </w:r>
          </w:p>
        </w:tc>
      </w:tr>
      <w:tr>
        <w:tc>
          <w:tcPr>
            <w:tcW w:type="dxa" w:w="1928"/>
            <w:tcMar>
              <w:top w:w="80" w:type="dxa"/>
              <w:start w:w="90" w:type="dxa"/>
              <w:bottom w:w="80" w:type="dxa"/>
              <w:end w:w="90" w:type="dxa"/>
            </w:tcMar>
          </w:tcPr>
          <w:p>
            <w:r>
              <w:rPr>
                <w:rFonts w:ascii="Arial" w:hAnsi="Arial"/>
                <w:b w:val="0"/>
                <w:i w:val="0"/>
                <w:sz w:val="18"/>
              </w:rPr>
              <w:t>Phase 2 - CPKs auswählen</w:t>
            </w:r>
          </w:p>
        </w:tc>
        <w:tc>
          <w:tcPr>
            <w:tcW w:type="dxa" w:w="4819"/>
            <w:tcMar>
              <w:top w:w="80" w:type="dxa"/>
              <w:start w:w="90" w:type="dxa"/>
              <w:bottom w:w="80" w:type="dxa"/>
              <w:end w:w="90" w:type="dxa"/>
            </w:tcMar>
          </w:tcPr>
          <w:p>
            <w:r>
              <w:rPr>
                <w:rFonts w:ascii="Arial" w:hAnsi="Arial"/>
                <w:b w:val="0"/>
                <w:i w:val="0"/>
                <w:sz w:val="18"/>
              </w:rPr>
              <w:t>Nicht alle Systeme immer konsultieren; Auswahl nach Domäne, Perspektive und erwarteter Komplementarität.</w:t>
            </w:r>
          </w:p>
        </w:tc>
        <w:tc>
          <w:tcPr>
            <w:tcW w:type="dxa" w:w="2835"/>
            <w:tcMar>
              <w:top w:w="80" w:type="dxa"/>
              <w:start w:w="90" w:type="dxa"/>
              <w:bottom w:w="80" w:type="dxa"/>
              <w:end w:w="90" w:type="dxa"/>
            </w:tcMar>
          </w:tcPr>
          <w:p>
            <w:r>
              <w:rPr>
                <w:rFonts w:ascii="Arial" w:hAnsi="Arial"/>
                <w:b w:val="0"/>
                <w:i w:val="0"/>
                <w:sz w:val="18"/>
              </w:rPr>
              <w:t>CPK-Matrix</w:t>
            </w:r>
          </w:p>
        </w:tc>
      </w:tr>
      <w:tr>
        <w:tc>
          <w:tcPr>
            <w:tcW w:type="dxa" w:w="1928"/>
            <w:tcMar>
              <w:top w:w="80" w:type="dxa"/>
              <w:start w:w="90" w:type="dxa"/>
              <w:bottom w:w="80" w:type="dxa"/>
              <w:end w:w="90" w:type="dxa"/>
            </w:tcMar>
          </w:tcPr>
          <w:p>
            <w:r>
              <w:rPr>
                <w:rFonts w:ascii="Arial" w:hAnsi="Arial"/>
                <w:b w:val="0"/>
                <w:i w:val="0"/>
                <w:sz w:val="18"/>
              </w:rPr>
              <w:t>Phase 3 - Antworten erheben</w:t>
            </w:r>
          </w:p>
        </w:tc>
        <w:tc>
          <w:tcPr>
            <w:tcW w:type="dxa" w:w="4819"/>
            <w:tcMar>
              <w:top w:w="80" w:type="dxa"/>
              <w:start w:w="90" w:type="dxa"/>
              <w:bottom w:w="80" w:type="dxa"/>
              <w:end w:w="90" w:type="dxa"/>
            </w:tcMar>
          </w:tcPr>
          <w:p>
            <w:r>
              <w:rPr>
                <w:rFonts w:ascii="Arial" w:hAnsi="Arial"/>
                <w:b w:val="0"/>
                <w:i w:val="0"/>
                <w:sz w:val="18"/>
              </w:rPr>
              <w:t>Parallel oder sequenziell; bei sequenzieller Nutzung darf Vorwissen explizit dokumentiert werden.</w:t>
            </w:r>
          </w:p>
        </w:tc>
        <w:tc>
          <w:tcPr>
            <w:tcW w:type="dxa" w:w="2835"/>
            <w:tcMar>
              <w:top w:w="80" w:type="dxa"/>
              <w:start w:w="90" w:type="dxa"/>
              <w:bottom w:w="80" w:type="dxa"/>
              <w:end w:w="90" w:type="dxa"/>
            </w:tcMar>
          </w:tcPr>
          <w:p>
            <w:r>
              <w:rPr>
                <w:rFonts w:ascii="Arial" w:hAnsi="Arial"/>
                <w:b w:val="0"/>
                <w:i w:val="0"/>
                <w:sz w:val="18"/>
              </w:rPr>
              <w:t>Antwortsammlung</w:t>
            </w:r>
          </w:p>
        </w:tc>
      </w:tr>
      <w:tr>
        <w:tc>
          <w:tcPr>
            <w:tcW w:type="dxa" w:w="1928"/>
            <w:tcMar>
              <w:top w:w="80" w:type="dxa"/>
              <w:start w:w="90" w:type="dxa"/>
              <w:bottom w:w="80" w:type="dxa"/>
              <w:end w:w="90" w:type="dxa"/>
            </w:tcMar>
          </w:tcPr>
          <w:p>
            <w:r>
              <w:rPr>
                <w:rFonts w:ascii="Arial" w:hAnsi="Arial"/>
                <w:b w:val="0"/>
                <w:i w:val="0"/>
                <w:sz w:val="18"/>
              </w:rPr>
              <w:t>Phase 4 - Divergenz analysieren</w:t>
            </w:r>
          </w:p>
        </w:tc>
        <w:tc>
          <w:tcPr>
            <w:tcW w:type="dxa" w:w="4819"/>
            <w:tcMar>
              <w:top w:w="80" w:type="dxa"/>
              <w:start w:w="90" w:type="dxa"/>
              <w:bottom w:w="80" w:type="dxa"/>
              <w:end w:w="90" w:type="dxa"/>
            </w:tcMar>
          </w:tcPr>
          <w:p>
            <w:r>
              <w:rPr>
                <w:rFonts w:ascii="Arial" w:hAnsi="Arial"/>
                <w:b w:val="0"/>
                <w:i w:val="0"/>
                <w:sz w:val="18"/>
              </w:rPr>
              <w:t>Konvergenzen, Informationslücken, normative Konflikte und komplementäre Stärken markieren.</w:t>
            </w:r>
          </w:p>
        </w:tc>
        <w:tc>
          <w:tcPr>
            <w:tcW w:type="dxa" w:w="2835"/>
            <w:tcMar>
              <w:top w:w="80" w:type="dxa"/>
              <w:start w:w="90" w:type="dxa"/>
              <w:bottom w:w="80" w:type="dxa"/>
              <w:end w:w="90" w:type="dxa"/>
            </w:tcMar>
          </w:tcPr>
          <w:p>
            <w:r>
              <w:rPr>
                <w:rFonts w:ascii="Arial" w:hAnsi="Arial"/>
                <w:b w:val="0"/>
                <w:i w:val="0"/>
                <w:sz w:val="18"/>
              </w:rPr>
              <w:t>Divergenznotiz</w:t>
            </w:r>
          </w:p>
        </w:tc>
      </w:tr>
      <w:tr>
        <w:tc>
          <w:tcPr>
            <w:tcW w:type="dxa" w:w="1928"/>
            <w:tcMar>
              <w:top w:w="80" w:type="dxa"/>
              <w:start w:w="90" w:type="dxa"/>
              <w:bottom w:w="80" w:type="dxa"/>
              <w:end w:w="90" w:type="dxa"/>
            </w:tcMar>
          </w:tcPr>
          <w:p>
            <w:r>
              <w:rPr>
                <w:rFonts w:ascii="Arial" w:hAnsi="Arial"/>
                <w:b w:val="0"/>
                <w:i w:val="0"/>
                <w:sz w:val="18"/>
              </w:rPr>
              <w:t>Phase 5 - Synthese &amp; Entscheidung</w:t>
            </w:r>
          </w:p>
        </w:tc>
        <w:tc>
          <w:tcPr>
            <w:tcW w:type="dxa" w:w="4819"/>
            <w:tcMar>
              <w:top w:w="80" w:type="dxa"/>
              <w:start w:w="90" w:type="dxa"/>
              <w:bottom w:w="80" w:type="dxa"/>
              <w:end w:w="90" w:type="dxa"/>
            </w:tcMar>
          </w:tcPr>
          <w:p>
            <w:r>
              <w:rPr>
                <w:rFonts w:ascii="Arial" w:hAnsi="Arial"/>
                <w:b w:val="0"/>
                <w:i w:val="0"/>
                <w:sz w:val="18"/>
              </w:rPr>
              <w:t>Menschliche Integration mit begründeter Gewichtung, offener Restunsicherheit und nächstem Schritt.</w:t>
            </w:r>
          </w:p>
        </w:tc>
        <w:tc>
          <w:tcPr>
            <w:tcW w:type="dxa" w:w="2835"/>
            <w:tcMar>
              <w:top w:w="80" w:type="dxa"/>
              <w:start w:w="90" w:type="dxa"/>
              <w:bottom w:w="80" w:type="dxa"/>
              <w:end w:w="90" w:type="dxa"/>
            </w:tcMar>
          </w:tcPr>
          <w:p>
            <w:r>
              <w:rPr>
                <w:rFonts w:ascii="Arial" w:hAnsi="Arial"/>
                <w:b w:val="0"/>
                <w:i w:val="0"/>
                <w:sz w:val="18"/>
              </w:rPr>
              <w:t>Synthese-Statement</w:t>
            </w:r>
          </w:p>
        </w:tc>
      </w:tr>
      <w:tr>
        <w:tc>
          <w:tcPr>
            <w:tcW w:type="dxa" w:w="1928"/>
            <w:tcMar>
              <w:top w:w="80" w:type="dxa"/>
              <w:start w:w="90" w:type="dxa"/>
              <w:bottom w:w="80" w:type="dxa"/>
              <w:end w:w="90" w:type="dxa"/>
            </w:tcMar>
          </w:tcPr>
          <w:p>
            <w:r>
              <w:rPr>
                <w:rFonts w:ascii="Arial" w:hAnsi="Arial"/>
                <w:b w:val="0"/>
                <w:i w:val="0"/>
                <w:sz w:val="18"/>
              </w:rPr>
              <w:t>Phase 6 - Log &amp; Follow-up</w:t>
            </w:r>
          </w:p>
        </w:tc>
        <w:tc>
          <w:tcPr>
            <w:tcW w:type="dxa" w:w="4819"/>
            <w:tcMar>
              <w:top w:w="80" w:type="dxa"/>
              <w:start w:w="90" w:type="dxa"/>
              <w:bottom w:w="80" w:type="dxa"/>
              <w:end w:w="90" w:type="dxa"/>
            </w:tcMar>
          </w:tcPr>
          <w:p>
            <w:r>
              <w:rPr>
                <w:rFonts w:ascii="Arial" w:hAnsi="Arial"/>
                <w:b w:val="0"/>
                <w:i w:val="0"/>
                <w:sz w:val="18"/>
              </w:rPr>
              <w:t>KOBI-Log ablegen, offene Fragen benennen, Outputs und Folgeentscheidungen referenzieren.</w:t>
            </w:r>
          </w:p>
        </w:tc>
        <w:tc>
          <w:tcPr>
            <w:tcW w:type="dxa" w:w="2835"/>
            <w:tcMar>
              <w:top w:w="80" w:type="dxa"/>
              <w:start w:w="90" w:type="dxa"/>
              <w:bottom w:w="80" w:type="dxa"/>
              <w:end w:w="90" w:type="dxa"/>
            </w:tcMar>
          </w:tcPr>
          <w:p>
            <w:r>
              <w:rPr>
                <w:rFonts w:ascii="Arial" w:hAnsi="Arial"/>
                <w:b w:val="0"/>
                <w:i w:val="0"/>
                <w:sz w:val="18"/>
              </w:rPr>
              <w:t>KOBI-Log</w:t>
            </w:r>
          </w:p>
        </w:tc>
      </w:tr>
    </w:tbl>
    <w:p>
      <w:pPr>
        <w:spacing w:after="120" w:line="276" w:lineRule="auto"/>
      </w:pPr>
      <w:r>
        <w:rPr>
          <w:rFonts w:ascii="Arial" w:hAnsi="Arial"/>
          <w:b w:val="0"/>
          <w:i/>
          <w:color w:val="5A5A5A"/>
          <w:sz w:val="20"/>
        </w:rPr>
        <w:t>Empfehlung: Für förder- oder paperrelevante Entscheidungen sollten mindestens zwei CPKs mit klar unterscheidbaren Stärken plus ein schriftliches Synthese-Statement vorliegen.</w:t>
      </w:r>
    </w:p>
    <w:p>
      <w:pPr>
        <w:pStyle w:val="Heading1"/>
        <w:spacing w:after="160" w:line="276" w:lineRule="auto"/>
      </w:pPr>
      <w:r>
        <w:rPr>
          <w:rFonts w:ascii="Arial" w:hAnsi="Arial"/>
          <w:b w:val="0"/>
          <w:i w:val="0"/>
          <w:sz w:val="22"/>
        </w:rPr>
        <w:t>5. Qualitäts- und Wirkungsmetriken</w:t>
      </w:r>
    </w:p>
    <w:p>
      <w:pPr>
        <w:spacing w:after="120" w:line="276" w:lineRule="auto"/>
      </w:pPr>
      <w:r>
        <w:rPr>
          <w:rFonts w:ascii="Arial" w:hAnsi="Arial"/>
          <w:b w:val="0"/>
          <w:i w:val="0"/>
          <w:sz w:val="21"/>
        </w:rPr>
        <w:t>Um KOBI über anekdotische Nützlichkeit hinaus bewertbar zu machen, sollte jede Session mindestens auf Prozess-, Output- und Lernindikatoren abgebildet werden.</w:t>
      </w:r>
    </w:p>
    <w:tbl>
      <w:tblPr>
        <w:tblW w:type="auto" w:w="0"/>
        <w:jc w:val="center"/>
        <w:tblLayout w:type="fixed"/>
        <w:tblLook w:firstColumn="1" w:firstRow="1" w:lastColumn="0" w:lastRow="0" w:noHBand="0" w:noVBand="1" w:val="04A0"/>
      </w:tblPr>
      <w:tblGrid>
        <w:gridCol w:w="1701"/>
        <w:gridCol w:w="3005"/>
        <w:gridCol w:w="2721"/>
        <w:gridCol w:w="1928"/>
      </w:tblGrid>
      <w:tr>
        <w:tc>
          <w:tcPr>
            <w:tcW w:type="dxa" w:w="2493"/>
            <w:shd w:fill="DCE6F1"/>
            <w:tcMar>
              <w:top w:w="80" w:type="dxa"/>
              <w:start w:w="90" w:type="dxa"/>
              <w:bottom w:w="80" w:type="dxa"/>
              <w:end w:w="90" w:type="dxa"/>
            </w:tcMar>
          </w:tcPr>
          <w:p>
            <w:pPr>
              <w:jc w:val="center"/>
            </w:pPr>
            <w:r>
              <w:rPr>
                <w:rFonts w:ascii="Arial" w:hAnsi="Arial"/>
                <w:b/>
                <w:i w:val="0"/>
                <w:color w:val="1F4E79"/>
                <w:sz w:val="19"/>
              </w:rPr>
              <w:t>Ebene</w:t>
            </w:r>
          </w:p>
        </w:tc>
        <w:tc>
          <w:tcPr>
            <w:tcW w:type="dxa" w:w="2493"/>
            <w:shd w:fill="DCE6F1"/>
            <w:tcMar>
              <w:top w:w="80" w:type="dxa"/>
              <w:start w:w="90" w:type="dxa"/>
              <w:bottom w:w="80" w:type="dxa"/>
              <w:end w:w="90" w:type="dxa"/>
            </w:tcMar>
          </w:tcPr>
          <w:p>
            <w:pPr>
              <w:jc w:val="center"/>
            </w:pPr>
            <w:r>
              <w:rPr>
                <w:rFonts w:ascii="Arial" w:hAnsi="Arial"/>
                <w:b/>
                <w:i w:val="0"/>
                <w:color w:val="1F4E79"/>
                <w:sz w:val="19"/>
              </w:rPr>
              <w:t>Indikator</w:t>
            </w:r>
          </w:p>
        </w:tc>
        <w:tc>
          <w:tcPr>
            <w:tcW w:type="dxa" w:w="2493"/>
            <w:shd w:fill="DCE6F1"/>
            <w:tcMar>
              <w:top w:w="80" w:type="dxa"/>
              <w:start w:w="90" w:type="dxa"/>
              <w:bottom w:w="80" w:type="dxa"/>
              <w:end w:w="90" w:type="dxa"/>
            </w:tcMar>
          </w:tcPr>
          <w:p>
            <w:pPr>
              <w:jc w:val="center"/>
            </w:pPr>
            <w:r>
              <w:rPr>
                <w:rFonts w:ascii="Arial" w:hAnsi="Arial"/>
                <w:b/>
                <w:i w:val="0"/>
                <w:color w:val="1F4E79"/>
                <w:sz w:val="19"/>
              </w:rPr>
              <w:t>Definition</w:t>
            </w:r>
          </w:p>
        </w:tc>
        <w:tc>
          <w:tcPr>
            <w:tcW w:type="dxa" w:w="2493"/>
            <w:shd w:fill="DCE6F1"/>
            <w:tcMar>
              <w:top w:w="80" w:type="dxa"/>
              <w:start w:w="90" w:type="dxa"/>
              <w:bottom w:w="80" w:type="dxa"/>
              <w:end w:w="90" w:type="dxa"/>
            </w:tcMar>
          </w:tcPr>
          <w:p>
            <w:pPr>
              <w:jc w:val="center"/>
            </w:pPr>
            <w:r>
              <w:rPr>
                <w:rFonts w:ascii="Arial" w:hAnsi="Arial"/>
                <w:b/>
                <w:i w:val="0"/>
                <w:color w:val="1F4E79"/>
                <w:sz w:val="19"/>
              </w:rPr>
              <w:t>Minimalziel</w:t>
            </w:r>
          </w:p>
        </w:tc>
      </w:tr>
      <w:tr>
        <w:tc>
          <w:tcPr>
            <w:tcW w:type="dxa" w:w="1701"/>
            <w:tcMar>
              <w:top w:w="80" w:type="dxa"/>
              <w:start w:w="90" w:type="dxa"/>
              <w:bottom w:w="80" w:type="dxa"/>
              <w:end w:w="90" w:type="dxa"/>
            </w:tcMar>
          </w:tcPr>
          <w:p>
            <w:r>
              <w:rPr>
                <w:rFonts w:ascii="Arial" w:hAnsi="Arial"/>
                <w:b w:val="0"/>
                <w:i w:val="0"/>
                <w:sz w:val="18"/>
              </w:rPr>
              <w:t>Prozess</w:t>
            </w:r>
          </w:p>
        </w:tc>
        <w:tc>
          <w:tcPr>
            <w:tcW w:type="dxa" w:w="3005"/>
            <w:tcMar>
              <w:top w:w="80" w:type="dxa"/>
              <w:start w:w="90" w:type="dxa"/>
              <w:bottom w:w="80" w:type="dxa"/>
              <w:end w:w="90" w:type="dxa"/>
            </w:tcMar>
          </w:tcPr>
          <w:p>
            <w:r>
              <w:rPr>
                <w:rFonts w:ascii="Arial" w:hAnsi="Arial"/>
                <w:b w:val="0"/>
                <w:i w:val="0"/>
                <w:sz w:val="18"/>
              </w:rPr>
              <w:t>Session Count</w:t>
            </w:r>
          </w:p>
        </w:tc>
        <w:tc>
          <w:tcPr>
            <w:tcW w:type="dxa" w:w="2721"/>
            <w:tcMar>
              <w:top w:w="80" w:type="dxa"/>
              <w:start w:w="90" w:type="dxa"/>
              <w:bottom w:w="80" w:type="dxa"/>
              <w:end w:w="90" w:type="dxa"/>
            </w:tcMar>
          </w:tcPr>
          <w:p>
            <w:r>
              <w:rPr>
                <w:rFonts w:ascii="Arial" w:hAnsi="Arial"/>
                <w:b w:val="0"/>
                <w:i w:val="0"/>
                <w:sz w:val="18"/>
              </w:rPr>
              <w:t>Anzahl dokumentierter KOBI-Sessions pro Arbeitsphase</w:t>
            </w:r>
          </w:p>
        </w:tc>
        <w:tc>
          <w:tcPr>
            <w:tcW w:type="dxa" w:w="1928"/>
            <w:tcMar>
              <w:top w:w="80" w:type="dxa"/>
              <w:start w:w="90" w:type="dxa"/>
              <w:bottom w:w="80" w:type="dxa"/>
              <w:end w:w="90" w:type="dxa"/>
            </w:tcMar>
          </w:tcPr>
          <w:p>
            <w:r>
              <w:rPr>
                <w:rFonts w:ascii="Arial" w:hAnsi="Arial"/>
                <w:b w:val="0"/>
                <w:i w:val="0"/>
                <w:sz w:val="18"/>
              </w:rPr>
              <w:t>laufend erfassen</w:t>
            </w:r>
          </w:p>
        </w:tc>
      </w:tr>
      <w:tr>
        <w:tc>
          <w:tcPr>
            <w:tcW w:type="dxa" w:w="1701"/>
            <w:tcMar>
              <w:top w:w="80" w:type="dxa"/>
              <w:start w:w="90" w:type="dxa"/>
              <w:bottom w:w="80" w:type="dxa"/>
              <w:end w:w="90" w:type="dxa"/>
            </w:tcMar>
          </w:tcPr>
          <w:p>
            <w:r>
              <w:rPr>
                <w:rFonts w:ascii="Arial" w:hAnsi="Arial"/>
                <w:b w:val="0"/>
                <w:i w:val="0"/>
                <w:sz w:val="18"/>
              </w:rPr>
              <w:t>Prozess</w:t>
            </w:r>
          </w:p>
        </w:tc>
        <w:tc>
          <w:tcPr>
            <w:tcW w:type="dxa" w:w="3005"/>
            <w:tcMar>
              <w:top w:w="80" w:type="dxa"/>
              <w:start w:w="90" w:type="dxa"/>
              <w:bottom w:w="80" w:type="dxa"/>
              <w:end w:w="90" w:type="dxa"/>
            </w:tcMar>
          </w:tcPr>
          <w:p>
            <w:r>
              <w:rPr>
                <w:rFonts w:ascii="Arial" w:hAnsi="Arial"/>
                <w:b w:val="0"/>
                <w:i w:val="0"/>
                <w:sz w:val="18"/>
              </w:rPr>
              <w:t>Perspective Breadth</w:t>
            </w:r>
          </w:p>
        </w:tc>
        <w:tc>
          <w:tcPr>
            <w:tcW w:type="dxa" w:w="2721"/>
            <w:tcMar>
              <w:top w:w="80" w:type="dxa"/>
              <w:start w:w="90" w:type="dxa"/>
              <w:bottom w:w="80" w:type="dxa"/>
              <w:end w:w="90" w:type="dxa"/>
            </w:tcMar>
          </w:tcPr>
          <w:p>
            <w:r>
              <w:rPr>
                <w:rFonts w:ascii="Arial" w:hAnsi="Arial"/>
                <w:b w:val="0"/>
                <w:i w:val="0"/>
                <w:sz w:val="18"/>
              </w:rPr>
              <w:t>Zahl tatsächlich verschiedener CPK-Profile pro Session</w:t>
            </w:r>
          </w:p>
        </w:tc>
        <w:tc>
          <w:tcPr>
            <w:tcW w:type="dxa" w:w="1928"/>
            <w:tcMar>
              <w:top w:w="80" w:type="dxa"/>
              <w:start w:w="90" w:type="dxa"/>
              <w:bottom w:w="80" w:type="dxa"/>
              <w:end w:w="90" w:type="dxa"/>
            </w:tcMar>
          </w:tcPr>
          <w:p>
            <w:r>
              <w:rPr>
                <w:rFonts w:ascii="Arial" w:hAnsi="Arial"/>
                <w:b w:val="0"/>
                <w:i w:val="0"/>
                <w:sz w:val="18"/>
              </w:rPr>
              <w:t>&gt;= 2 pro kritischer Entscheidung</w:t>
            </w:r>
          </w:p>
        </w:tc>
      </w:tr>
      <w:tr>
        <w:tc>
          <w:tcPr>
            <w:tcW w:type="dxa" w:w="1701"/>
            <w:tcMar>
              <w:top w:w="80" w:type="dxa"/>
              <w:start w:w="90" w:type="dxa"/>
              <w:bottom w:w="80" w:type="dxa"/>
              <w:end w:w="90" w:type="dxa"/>
            </w:tcMar>
          </w:tcPr>
          <w:p>
            <w:r>
              <w:rPr>
                <w:rFonts w:ascii="Arial" w:hAnsi="Arial"/>
                <w:b w:val="0"/>
                <w:i w:val="0"/>
                <w:sz w:val="18"/>
              </w:rPr>
              <w:t>Output</w:t>
            </w:r>
          </w:p>
        </w:tc>
        <w:tc>
          <w:tcPr>
            <w:tcW w:type="dxa" w:w="3005"/>
            <w:tcMar>
              <w:top w:w="80" w:type="dxa"/>
              <w:start w:w="90" w:type="dxa"/>
              <w:bottom w:w="80" w:type="dxa"/>
              <w:end w:w="90" w:type="dxa"/>
            </w:tcMar>
          </w:tcPr>
          <w:p>
            <w:r>
              <w:rPr>
                <w:rFonts w:ascii="Arial" w:hAnsi="Arial"/>
                <w:b w:val="0"/>
                <w:i w:val="0"/>
                <w:sz w:val="18"/>
              </w:rPr>
              <w:t>Unique Insight Rate</w:t>
            </w:r>
          </w:p>
        </w:tc>
        <w:tc>
          <w:tcPr>
            <w:tcW w:type="dxa" w:w="2721"/>
            <w:tcMar>
              <w:top w:w="80" w:type="dxa"/>
              <w:start w:w="90" w:type="dxa"/>
              <w:bottom w:w="80" w:type="dxa"/>
              <w:end w:w="90" w:type="dxa"/>
            </w:tcMar>
          </w:tcPr>
          <w:p>
            <w:r>
              <w:rPr>
                <w:rFonts w:ascii="Arial" w:hAnsi="Arial"/>
                <w:b w:val="0"/>
                <w:i w:val="0"/>
                <w:sz w:val="18"/>
              </w:rPr>
              <w:t>Anteil Antworten mit mindestens einem nicht redundanten Insight</w:t>
            </w:r>
          </w:p>
        </w:tc>
        <w:tc>
          <w:tcPr>
            <w:tcW w:type="dxa" w:w="1928"/>
            <w:tcMar>
              <w:top w:w="80" w:type="dxa"/>
              <w:start w:w="90" w:type="dxa"/>
              <w:bottom w:w="80" w:type="dxa"/>
              <w:end w:w="90" w:type="dxa"/>
            </w:tcMar>
          </w:tcPr>
          <w:p>
            <w:r>
              <w:rPr>
                <w:rFonts w:ascii="Arial" w:hAnsi="Arial"/>
                <w:b w:val="0"/>
                <w:i w:val="0"/>
                <w:sz w:val="18"/>
              </w:rPr>
              <w:t>sichtbar dokumentieren</w:t>
            </w:r>
          </w:p>
        </w:tc>
      </w:tr>
      <w:tr>
        <w:tc>
          <w:tcPr>
            <w:tcW w:type="dxa" w:w="1701"/>
            <w:tcMar>
              <w:top w:w="80" w:type="dxa"/>
              <w:start w:w="90" w:type="dxa"/>
              <w:bottom w:w="80" w:type="dxa"/>
              <w:end w:w="90" w:type="dxa"/>
            </w:tcMar>
          </w:tcPr>
          <w:p>
            <w:r>
              <w:rPr>
                <w:rFonts w:ascii="Arial" w:hAnsi="Arial"/>
                <w:b w:val="0"/>
                <w:i w:val="0"/>
                <w:sz w:val="18"/>
              </w:rPr>
              <w:t>Output</w:t>
            </w:r>
          </w:p>
        </w:tc>
        <w:tc>
          <w:tcPr>
            <w:tcW w:type="dxa" w:w="3005"/>
            <w:tcMar>
              <w:top w:w="80" w:type="dxa"/>
              <w:start w:w="90" w:type="dxa"/>
              <w:bottom w:w="80" w:type="dxa"/>
              <w:end w:w="90" w:type="dxa"/>
            </w:tcMar>
          </w:tcPr>
          <w:p>
            <w:r>
              <w:rPr>
                <w:rFonts w:ascii="Arial" w:hAnsi="Arial"/>
                <w:b w:val="0"/>
                <w:i w:val="0"/>
                <w:sz w:val="18"/>
              </w:rPr>
              <w:t>Divergence Capture</w:t>
            </w:r>
          </w:p>
        </w:tc>
        <w:tc>
          <w:tcPr>
            <w:tcW w:type="dxa" w:w="2721"/>
            <w:tcMar>
              <w:top w:w="80" w:type="dxa"/>
              <w:start w:w="90" w:type="dxa"/>
              <w:bottom w:w="80" w:type="dxa"/>
              <w:end w:w="90" w:type="dxa"/>
            </w:tcMar>
          </w:tcPr>
          <w:p>
            <w:r>
              <w:rPr>
                <w:rFonts w:ascii="Arial" w:hAnsi="Arial"/>
                <w:b w:val="0"/>
                <w:i w:val="0"/>
                <w:sz w:val="18"/>
              </w:rPr>
              <w:t>Anzahl klar markierter Trade-offs oder Konfliktpunkte</w:t>
            </w:r>
          </w:p>
        </w:tc>
        <w:tc>
          <w:tcPr>
            <w:tcW w:type="dxa" w:w="1928"/>
            <w:tcMar>
              <w:top w:w="80" w:type="dxa"/>
              <w:start w:w="90" w:type="dxa"/>
              <w:bottom w:w="80" w:type="dxa"/>
              <w:end w:w="90" w:type="dxa"/>
            </w:tcMar>
          </w:tcPr>
          <w:p>
            <w:r>
              <w:rPr>
                <w:rFonts w:ascii="Arial" w:hAnsi="Arial"/>
                <w:b w:val="0"/>
                <w:i w:val="0"/>
                <w:sz w:val="18"/>
              </w:rPr>
              <w:t>mindestens 1 bei komplexen Fragen</w:t>
            </w:r>
          </w:p>
        </w:tc>
      </w:tr>
      <w:tr>
        <w:tc>
          <w:tcPr>
            <w:tcW w:type="dxa" w:w="1701"/>
            <w:tcMar>
              <w:top w:w="80" w:type="dxa"/>
              <w:start w:w="90" w:type="dxa"/>
              <w:bottom w:w="80" w:type="dxa"/>
              <w:end w:w="90" w:type="dxa"/>
            </w:tcMar>
          </w:tcPr>
          <w:p>
            <w:r>
              <w:rPr>
                <w:rFonts w:ascii="Arial" w:hAnsi="Arial"/>
                <w:b w:val="0"/>
                <w:i w:val="0"/>
                <w:sz w:val="18"/>
              </w:rPr>
              <w:t>Entscheidung</w:t>
            </w:r>
          </w:p>
        </w:tc>
        <w:tc>
          <w:tcPr>
            <w:tcW w:type="dxa" w:w="3005"/>
            <w:tcMar>
              <w:top w:w="80" w:type="dxa"/>
              <w:start w:w="90" w:type="dxa"/>
              <w:bottom w:w="80" w:type="dxa"/>
              <w:end w:w="90" w:type="dxa"/>
            </w:tcMar>
          </w:tcPr>
          <w:p>
            <w:r>
              <w:rPr>
                <w:rFonts w:ascii="Arial" w:hAnsi="Arial"/>
                <w:b w:val="0"/>
                <w:i w:val="0"/>
                <w:sz w:val="18"/>
              </w:rPr>
              <w:t>Decision Traceability</w:t>
            </w:r>
          </w:p>
        </w:tc>
        <w:tc>
          <w:tcPr>
            <w:tcW w:type="dxa" w:w="2721"/>
            <w:tcMar>
              <w:top w:w="80" w:type="dxa"/>
              <w:start w:w="90" w:type="dxa"/>
              <w:bottom w:w="80" w:type="dxa"/>
              <w:end w:w="90" w:type="dxa"/>
            </w:tcMar>
          </w:tcPr>
          <w:p>
            <w:r>
              <w:rPr>
                <w:rFonts w:ascii="Arial" w:hAnsi="Arial"/>
                <w:b w:val="0"/>
                <w:i w:val="0"/>
                <w:sz w:val="18"/>
              </w:rPr>
              <w:t>Vorhandensein einer begründeten Synthese plus Follow-up</w:t>
            </w:r>
          </w:p>
        </w:tc>
        <w:tc>
          <w:tcPr>
            <w:tcW w:type="dxa" w:w="1928"/>
            <w:tcMar>
              <w:top w:w="80" w:type="dxa"/>
              <w:start w:w="90" w:type="dxa"/>
              <w:bottom w:w="80" w:type="dxa"/>
              <w:end w:w="90" w:type="dxa"/>
            </w:tcMar>
          </w:tcPr>
          <w:p>
            <w:r>
              <w:rPr>
                <w:rFonts w:ascii="Arial" w:hAnsi="Arial"/>
                <w:b w:val="0"/>
                <w:i w:val="0"/>
                <w:sz w:val="18"/>
              </w:rPr>
              <w:t>100% für förderrelevante Sessions</w:t>
            </w:r>
          </w:p>
        </w:tc>
      </w:tr>
      <w:tr>
        <w:tc>
          <w:tcPr>
            <w:tcW w:type="dxa" w:w="1701"/>
            <w:tcMar>
              <w:top w:w="80" w:type="dxa"/>
              <w:start w:w="90" w:type="dxa"/>
              <w:bottom w:w="80" w:type="dxa"/>
              <w:end w:w="90" w:type="dxa"/>
            </w:tcMar>
          </w:tcPr>
          <w:p>
            <w:r>
              <w:rPr>
                <w:rFonts w:ascii="Arial" w:hAnsi="Arial"/>
                <w:b w:val="0"/>
                <w:i w:val="0"/>
                <w:sz w:val="18"/>
              </w:rPr>
              <w:t>Lernen</w:t>
            </w:r>
          </w:p>
        </w:tc>
        <w:tc>
          <w:tcPr>
            <w:tcW w:type="dxa" w:w="3005"/>
            <w:tcMar>
              <w:top w:w="80" w:type="dxa"/>
              <w:start w:w="90" w:type="dxa"/>
              <w:bottom w:w="80" w:type="dxa"/>
              <w:end w:w="90" w:type="dxa"/>
            </w:tcMar>
          </w:tcPr>
          <w:p>
            <w:r>
              <w:rPr>
                <w:rFonts w:ascii="Arial" w:hAnsi="Arial"/>
                <w:b w:val="0"/>
                <w:i w:val="0"/>
                <w:sz w:val="18"/>
              </w:rPr>
              <w:t>Reuse Value</w:t>
            </w:r>
          </w:p>
        </w:tc>
        <w:tc>
          <w:tcPr>
            <w:tcW w:type="dxa" w:w="2721"/>
            <w:tcMar>
              <w:top w:w="80" w:type="dxa"/>
              <w:start w:w="90" w:type="dxa"/>
              <w:bottom w:w="80" w:type="dxa"/>
              <w:end w:w="90" w:type="dxa"/>
            </w:tcMar>
          </w:tcPr>
          <w:p>
            <w:r>
              <w:rPr>
                <w:rFonts w:ascii="Arial" w:hAnsi="Arial"/>
                <w:b w:val="0"/>
                <w:i w:val="0"/>
                <w:sz w:val="18"/>
              </w:rPr>
              <w:t>ob Session zu Deliverable, Änderung oder Anschlussfrage führte</w:t>
            </w:r>
          </w:p>
        </w:tc>
        <w:tc>
          <w:tcPr>
            <w:tcW w:type="dxa" w:w="1928"/>
            <w:tcMar>
              <w:top w:w="80" w:type="dxa"/>
              <w:start w:w="90" w:type="dxa"/>
              <w:bottom w:w="80" w:type="dxa"/>
              <w:end w:w="90" w:type="dxa"/>
            </w:tcMar>
          </w:tcPr>
          <w:p>
            <w:r>
              <w:rPr>
                <w:rFonts w:ascii="Arial" w:hAnsi="Arial"/>
                <w:b w:val="0"/>
                <w:i w:val="0"/>
                <w:sz w:val="18"/>
              </w:rPr>
              <w:t>ja/nein + Referenz</w:t>
            </w:r>
          </w:p>
        </w:tc>
      </w:tr>
    </w:tbl>
    <w:p>
      <w:pPr>
        <w:spacing w:after="120" w:line="276" w:lineRule="auto"/>
      </w:pPr>
      <w:r>
        <w:rPr>
          <w:rFonts w:ascii="Arial" w:hAnsi="Arial"/>
          <w:b w:val="0"/>
          <w:i w:val="0"/>
          <w:sz w:val="20"/>
        </w:rPr>
        <w:t>Optional können später zusätzliche Metriken ergänzt werden, etwa Bearbeitungszeit pro Session, Wiederverwendungsquote von Logs oder Interrater-Bewertungen der Synthesequalität.</w:t>
      </w:r>
    </w:p>
    <w:p>
      <w:pPr>
        <w:pStyle w:val="Heading1"/>
        <w:spacing w:after="160" w:line="276" w:lineRule="auto"/>
      </w:pPr>
      <w:r>
        <w:rPr>
          <w:rFonts w:ascii="Arial" w:hAnsi="Arial"/>
          <w:b w:val="0"/>
          <w:i w:val="0"/>
          <w:sz w:val="22"/>
        </w:rPr>
        <w:t>6. Standard für KOBI-Logs</w:t>
      </w:r>
    </w:p>
    <w:p>
      <w:pPr>
        <w:spacing w:after="120" w:line="276" w:lineRule="auto"/>
      </w:pPr>
      <w:r>
        <w:rPr>
          <w:rFonts w:ascii="Arial" w:hAnsi="Arial"/>
          <w:b w:val="0"/>
          <w:i w:val="0"/>
          <w:sz w:val="21"/>
        </w:rPr>
        <w:t>Ein KOBI-Log ist das zentrale Evidenzartefakt. Es soll kurz genug für den operativen Alltag, aber vollständig genug für spätere Rekonstruktion sein.</w:t>
      </w:r>
    </w:p>
    <w:tbl>
      <w:tblPr>
        <w:tblW w:type="auto" w:w="0"/>
        <w:jc w:val="center"/>
        <w:tblLayout w:type="fixed"/>
        <w:tblLook w:firstColumn="1" w:firstRow="1" w:lastColumn="0" w:lastRow="0" w:noHBand="0" w:noVBand="1" w:val="04A0"/>
      </w:tblPr>
      <w:tblGrid>
        <w:gridCol w:w="9071"/>
      </w:tblGrid>
      <w:tr>
        <w:tc>
          <w:tcPr>
            <w:tcW w:type="dxa" w:w="9972"/>
            <w:shd w:fill="F7F9FB"/>
            <w:tcMar>
              <w:top w:w="140" w:type="dxa"/>
              <w:start w:w="140" w:type="dxa"/>
              <w:bottom w:w="120" w:type="dxa"/>
              <w:end w:w="140" w:type="dxa"/>
            </w:tcMar>
          </w:tcPr>
          <w:p>
            <w:pPr>
              <w:spacing w:after="80"/>
            </w:pPr>
            <w:r>
              <w:rPr>
                <w:rFonts w:ascii="Arial" w:hAnsi="Arial"/>
                <w:b/>
                <w:i w:val="0"/>
                <w:color w:val="2C3E50"/>
                <w:sz w:val="20"/>
              </w:rPr>
              <w:t>1. KOBI-Session-ID / Datum / Kontext</w:t>
            </w:r>
          </w:p>
          <w:p>
            <w:pPr>
              <w:spacing w:after="80"/>
            </w:pPr>
            <w:r>
              <w:rPr>
                <w:rFonts w:ascii="Arial" w:hAnsi="Arial"/>
                <w:b/>
                <w:i w:val="0"/>
                <w:color w:val="2C3E50"/>
                <w:sz w:val="20"/>
              </w:rPr>
              <w:t>2. Fragestellung und Entscheidungsziel</w:t>
            </w:r>
          </w:p>
          <w:p>
            <w:pPr>
              <w:spacing w:after="80"/>
            </w:pPr>
            <w:r>
              <w:rPr>
                <w:rFonts w:ascii="Arial" w:hAnsi="Arial"/>
                <w:b/>
                <w:i w:val="0"/>
                <w:color w:val="2C3E50"/>
                <w:sz w:val="20"/>
              </w:rPr>
              <w:t>3. Gewählte CPKs und Begründung der Auswahl</w:t>
            </w:r>
          </w:p>
          <w:p>
            <w:pPr>
              <w:spacing w:after="80"/>
            </w:pPr>
            <w:r>
              <w:rPr>
                <w:rFonts w:ascii="Arial" w:hAnsi="Arial"/>
                <w:b w:val="0"/>
                <w:i w:val="0"/>
                <w:sz w:val="20"/>
              </w:rPr>
              <w:t>4. Kernaussagen je CPK (max. 3 Bullet Points)</w:t>
            </w:r>
          </w:p>
          <w:p>
            <w:pPr>
              <w:spacing w:after="80"/>
            </w:pPr>
            <w:r>
              <w:rPr>
                <w:rFonts w:ascii="Arial" w:hAnsi="Arial"/>
                <w:b w:val="0"/>
                <w:i w:val="0"/>
                <w:sz w:val="20"/>
              </w:rPr>
              <w:t>5. Konvergenzen</w:t>
            </w:r>
          </w:p>
          <w:p>
            <w:pPr>
              <w:spacing w:after="80"/>
            </w:pPr>
            <w:r>
              <w:rPr>
                <w:rFonts w:ascii="Arial" w:hAnsi="Arial"/>
                <w:b w:val="0"/>
                <w:i w:val="0"/>
                <w:sz w:val="20"/>
              </w:rPr>
              <w:t>6. Divergenzen / Trade-offs / Informationslücken</w:t>
            </w:r>
          </w:p>
          <w:p>
            <w:pPr>
              <w:spacing w:after="80"/>
            </w:pPr>
            <w:r>
              <w:rPr>
                <w:rFonts w:ascii="Arial" w:hAnsi="Arial"/>
                <w:b w:val="0"/>
                <w:i w:val="0"/>
                <w:sz w:val="20"/>
              </w:rPr>
              <w:t>7. Synthese des Humans inkl. Gewichtungslogik</w:t>
            </w:r>
          </w:p>
          <w:p>
            <w:pPr>
              <w:spacing w:after="80"/>
            </w:pPr>
            <w:r>
              <w:rPr>
                <w:rFonts w:ascii="Arial" w:hAnsi="Arial"/>
                <w:b w:val="0"/>
                <w:i w:val="0"/>
                <w:sz w:val="20"/>
              </w:rPr>
              <w:t>8. Entscheidung / Empfehlung</w:t>
            </w:r>
          </w:p>
          <w:p>
            <w:pPr>
              <w:spacing w:after="80"/>
            </w:pPr>
            <w:r>
              <w:rPr>
                <w:rFonts w:ascii="Arial" w:hAnsi="Arial"/>
                <w:b w:val="0"/>
                <w:i w:val="0"/>
                <w:sz w:val="20"/>
              </w:rPr>
              <w:t>9. Offene Fragen und Follow-up</w:t>
            </w:r>
          </w:p>
          <w:p>
            <w:pPr>
              <w:spacing w:after="80"/>
            </w:pPr>
            <w:r>
              <w:rPr>
                <w:rFonts w:ascii="Arial" w:hAnsi="Arial"/>
                <w:b w:val="0"/>
                <w:i w:val="0"/>
                <w:sz w:val="20"/>
              </w:rPr>
              <w:t>10. Verknüpfte Deliverables (Paper, Pitch, Architektur-Notiz, Code, Memo)</w:t>
            </w:r>
          </w:p>
        </w:tc>
      </w:tr>
    </w:tbl>
    <w:p>
      <w:pPr>
        <w:pStyle w:val="Heading1"/>
        <w:spacing w:after="160" w:line="276" w:lineRule="auto"/>
      </w:pPr>
      <w:r>
        <w:rPr>
          <w:rFonts w:ascii="Arial" w:hAnsi="Arial"/>
          <w:b w:val="0"/>
          <w:i w:val="0"/>
          <w:sz w:val="22"/>
        </w:rPr>
        <w:t>7. Governance, Limitationen und wissenschaftliche Vorsicht</w:t>
      </w:r>
    </w:p>
    <w:p>
      <w:pPr>
        <w:spacing w:after="120" w:line="276" w:lineRule="auto"/>
      </w:pPr>
      <w:r>
        <w:rPr>
          <w:rFonts w:ascii="Arial" w:hAnsi="Arial"/>
          <w:b w:val="0"/>
          <w:i w:val="0"/>
          <w:sz w:val="21"/>
        </w:rPr>
        <w:t>Für externe Kommunikation sollte KOBI bewusst defensiv beschrieben werden: als strukturierter Human-in-the-Loop-Ansatz mit experimentellem Charakter, nicht als Beweis vollständiger Multi-Agenten-Koordination.</w:t>
      </w:r>
    </w:p>
    <w:tbl>
      <w:tblPr>
        <w:tblW w:type="auto" w:w="0"/>
        <w:jc w:val="center"/>
        <w:tblLayout w:type="fixed"/>
        <w:tblLook w:firstColumn="1" w:firstRow="1" w:lastColumn="0" w:lastRow="0" w:noHBand="0" w:noVBand="1" w:val="04A0"/>
      </w:tblPr>
      <w:tblGrid>
        <w:gridCol w:w="2324"/>
        <w:gridCol w:w="4139"/>
        <w:gridCol w:w="2608"/>
      </w:tblGrid>
      <w:tr>
        <w:tc>
          <w:tcPr>
            <w:tcW w:type="dxa" w:w="3324"/>
            <w:shd w:fill="EAF2F8"/>
            <w:tcMar>
              <w:top w:w="80" w:type="dxa"/>
              <w:start w:w="90" w:type="dxa"/>
              <w:bottom w:w="80" w:type="dxa"/>
              <w:end w:w="90" w:type="dxa"/>
            </w:tcMar>
          </w:tcPr>
          <w:p>
            <w:r>
              <w:rPr>
                <w:rFonts w:ascii="Arial" w:hAnsi="Arial"/>
                <w:b/>
                <w:i w:val="0"/>
                <w:color w:val="1F4E79"/>
                <w:sz w:val="19"/>
              </w:rPr>
              <w:t>Limitation</w:t>
            </w:r>
          </w:p>
        </w:tc>
        <w:tc>
          <w:tcPr>
            <w:tcW w:type="dxa" w:w="3324"/>
            <w:shd w:fill="EAF2F8"/>
            <w:tcMar>
              <w:top w:w="80" w:type="dxa"/>
              <w:start w:w="90" w:type="dxa"/>
              <w:bottom w:w="80" w:type="dxa"/>
              <w:end w:w="90" w:type="dxa"/>
            </w:tcMar>
          </w:tcPr>
          <w:p>
            <w:r>
              <w:rPr>
                <w:rFonts w:ascii="Arial" w:hAnsi="Arial"/>
                <w:b/>
                <w:i w:val="0"/>
                <w:color w:val="1F4E79"/>
                <w:sz w:val="19"/>
              </w:rPr>
              <w:t>Konsequenz</w:t>
            </w:r>
          </w:p>
        </w:tc>
        <w:tc>
          <w:tcPr>
            <w:tcW w:type="dxa" w:w="3324"/>
            <w:shd w:fill="EAF2F8"/>
            <w:tcMar>
              <w:top w:w="80" w:type="dxa"/>
              <w:start w:w="90" w:type="dxa"/>
              <w:bottom w:w="80" w:type="dxa"/>
              <w:end w:w="90" w:type="dxa"/>
            </w:tcMar>
          </w:tcPr>
          <w:p>
            <w:r>
              <w:rPr>
                <w:rFonts w:ascii="Arial" w:hAnsi="Arial"/>
                <w:b/>
                <w:i w:val="0"/>
                <w:color w:val="1F4E79"/>
                <w:sz w:val="19"/>
              </w:rPr>
              <w:t>Mitigation / gute Praxis</w:t>
            </w:r>
          </w:p>
        </w:tc>
      </w:tr>
      <w:tr>
        <w:tc>
          <w:tcPr>
            <w:tcW w:type="dxa" w:w="2324"/>
            <w:tcMar>
              <w:top w:w="80" w:type="dxa"/>
              <w:start w:w="90" w:type="dxa"/>
              <w:bottom w:w="80" w:type="dxa"/>
              <w:end w:w="90" w:type="dxa"/>
            </w:tcMar>
          </w:tcPr>
          <w:p>
            <w:r>
              <w:rPr>
                <w:rFonts w:ascii="Arial" w:hAnsi="Arial"/>
                <w:b w:val="0"/>
                <w:i w:val="0"/>
                <w:sz w:val="18"/>
              </w:rPr>
              <w:t>Kein kollektives Bewusstsein zwischen CPKs</w:t>
            </w:r>
          </w:p>
        </w:tc>
        <w:tc>
          <w:tcPr>
            <w:tcW w:type="dxa" w:w="4139"/>
            <w:tcMar>
              <w:top w:w="80" w:type="dxa"/>
              <w:start w:w="90" w:type="dxa"/>
              <w:bottom w:w="80" w:type="dxa"/>
              <w:end w:w="90" w:type="dxa"/>
            </w:tcMar>
          </w:tcPr>
          <w:p>
            <w:r>
              <w:rPr>
                <w:rFonts w:ascii="Arial" w:hAnsi="Arial"/>
                <w:b w:val="0"/>
                <w:i w:val="0"/>
                <w:sz w:val="18"/>
              </w:rPr>
              <w:t>keine echte direkte Multi-KI-Diskussion</w:t>
            </w:r>
          </w:p>
        </w:tc>
        <w:tc>
          <w:tcPr>
            <w:tcW w:type="dxa" w:w="2608"/>
            <w:tcMar>
              <w:top w:w="80" w:type="dxa"/>
              <w:start w:w="90" w:type="dxa"/>
              <w:bottom w:w="80" w:type="dxa"/>
              <w:end w:w="90" w:type="dxa"/>
            </w:tcMar>
          </w:tcPr>
          <w:p>
            <w:r>
              <w:rPr>
                <w:rFonts w:ascii="Arial" w:hAnsi="Arial"/>
                <w:b w:val="0"/>
                <w:i w:val="0"/>
                <w:sz w:val="18"/>
              </w:rPr>
              <w:t>sequenzielle Transparenz dokumentieren, Vorwissen explizit machen</w:t>
            </w:r>
          </w:p>
        </w:tc>
      </w:tr>
      <w:tr>
        <w:tc>
          <w:tcPr>
            <w:tcW w:type="dxa" w:w="2324"/>
            <w:tcMar>
              <w:top w:w="80" w:type="dxa"/>
              <w:start w:w="90" w:type="dxa"/>
              <w:bottom w:w="80" w:type="dxa"/>
              <w:end w:w="90" w:type="dxa"/>
            </w:tcMar>
          </w:tcPr>
          <w:p>
            <w:r>
              <w:rPr>
                <w:rFonts w:ascii="Arial" w:hAnsi="Arial"/>
                <w:b w:val="0"/>
                <w:i w:val="0"/>
                <w:sz w:val="18"/>
              </w:rPr>
              <w:t>Human Bottleneck</w:t>
            </w:r>
          </w:p>
        </w:tc>
        <w:tc>
          <w:tcPr>
            <w:tcW w:type="dxa" w:w="4139"/>
            <w:tcMar>
              <w:top w:w="80" w:type="dxa"/>
              <w:start w:w="90" w:type="dxa"/>
              <w:bottom w:w="80" w:type="dxa"/>
              <w:end w:w="90" w:type="dxa"/>
            </w:tcMar>
          </w:tcPr>
          <w:p>
            <w:r>
              <w:rPr>
                <w:rFonts w:ascii="Arial" w:hAnsi="Arial"/>
                <w:b w:val="0"/>
                <w:i w:val="0"/>
                <w:sz w:val="18"/>
              </w:rPr>
              <w:t>Zeitaufwand und begrenzte Skalierbarkeit</w:t>
            </w:r>
          </w:p>
        </w:tc>
        <w:tc>
          <w:tcPr>
            <w:tcW w:type="dxa" w:w="2608"/>
            <w:tcMar>
              <w:top w:w="80" w:type="dxa"/>
              <w:start w:w="90" w:type="dxa"/>
              <w:bottom w:w="80" w:type="dxa"/>
              <w:end w:w="90" w:type="dxa"/>
            </w:tcMar>
          </w:tcPr>
          <w:p>
            <w:r>
              <w:rPr>
                <w:rFonts w:ascii="Arial" w:hAnsi="Arial"/>
                <w:b w:val="0"/>
                <w:i w:val="0"/>
                <w:sz w:val="18"/>
              </w:rPr>
              <w:t>Software nur als Beschleuniger, nicht als Ersatz definieren</w:t>
            </w:r>
          </w:p>
        </w:tc>
      </w:tr>
      <w:tr>
        <w:tc>
          <w:tcPr>
            <w:tcW w:type="dxa" w:w="2324"/>
            <w:tcMar>
              <w:top w:w="80" w:type="dxa"/>
              <w:start w:w="90" w:type="dxa"/>
              <w:bottom w:w="80" w:type="dxa"/>
              <w:end w:w="90" w:type="dxa"/>
            </w:tcMar>
          </w:tcPr>
          <w:p>
            <w:r>
              <w:rPr>
                <w:rFonts w:ascii="Arial" w:hAnsi="Arial"/>
                <w:b w:val="0"/>
                <w:i w:val="0"/>
                <w:sz w:val="18"/>
              </w:rPr>
              <w:t>API- und Modellabhängigkeit</w:t>
            </w:r>
          </w:p>
        </w:tc>
        <w:tc>
          <w:tcPr>
            <w:tcW w:type="dxa" w:w="4139"/>
            <w:tcMar>
              <w:top w:w="80" w:type="dxa"/>
              <w:start w:w="90" w:type="dxa"/>
              <w:bottom w:w="80" w:type="dxa"/>
              <w:end w:w="90" w:type="dxa"/>
            </w:tcMar>
          </w:tcPr>
          <w:p>
            <w:r>
              <w:rPr>
                <w:rFonts w:ascii="Arial" w:hAnsi="Arial"/>
                <w:b w:val="0"/>
                <w:i w:val="0"/>
                <w:sz w:val="18"/>
              </w:rPr>
              <w:t>Verfügbarkeit, Kosten und Drift sind extern</w:t>
            </w:r>
          </w:p>
        </w:tc>
        <w:tc>
          <w:tcPr>
            <w:tcW w:type="dxa" w:w="2608"/>
            <w:tcMar>
              <w:top w:w="80" w:type="dxa"/>
              <w:start w:w="90" w:type="dxa"/>
              <w:bottom w:w="80" w:type="dxa"/>
              <w:end w:w="90" w:type="dxa"/>
            </w:tcMar>
          </w:tcPr>
          <w:p>
            <w:r>
              <w:rPr>
                <w:rFonts w:ascii="Arial" w:hAnsi="Arial"/>
                <w:b w:val="0"/>
                <w:i w:val="0"/>
                <w:sz w:val="18"/>
              </w:rPr>
              <w:t>CPK-Auswahl versionieren und Session-Kontext festhalten</w:t>
            </w:r>
          </w:p>
        </w:tc>
      </w:tr>
      <w:tr>
        <w:tc>
          <w:tcPr>
            <w:tcW w:type="dxa" w:w="2324"/>
            <w:tcMar>
              <w:top w:w="80" w:type="dxa"/>
              <w:start w:w="90" w:type="dxa"/>
              <w:bottom w:w="80" w:type="dxa"/>
              <w:end w:w="90" w:type="dxa"/>
            </w:tcMar>
          </w:tcPr>
          <w:p>
            <w:r>
              <w:rPr>
                <w:rFonts w:ascii="Arial" w:hAnsi="Arial"/>
                <w:b w:val="0"/>
                <w:i w:val="0"/>
                <w:sz w:val="18"/>
              </w:rPr>
              <w:t>Subjektive Synthese</w:t>
            </w:r>
          </w:p>
        </w:tc>
        <w:tc>
          <w:tcPr>
            <w:tcW w:type="dxa" w:w="4139"/>
            <w:tcMar>
              <w:top w:w="80" w:type="dxa"/>
              <w:start w:w="90" w:type="dxa"/>
              <w:bottom w:w="80" w:type="dxa"/>
              <w:end w:w="90" w:type="dxa"/>
            </w:tcMar>
          </w:tcPr>
          <w:p>
            <w:r>
              <w:rPr>
                <w:rFonts w:ascii="Arial" w:hAnsi="Arial"/>
                <w:b w:val="0"/>
                <w:i w:val="0"/>
                <w:sz w:val="18"/>
              </w:rPr>
              <w:t>Gewichtung nie vollständig objektiv</w:t>
            </w:r>
          </w:p>
        </w:tc>
        <w:tc>
          <w:tcPr>
            <w:tcW w:type="dxa" w:w="2608"/>
            <w:tcMar>
              <w:top w:w="80" w:type="dxa"/>
              <w:start w:w="90" w:type="dxa"/>
              <w:bottom w:w="80" w:type="dxa"/>
              <w:end w:w="90" w:type="dxa"/>
            </w:tcMar>
          </w:tcPr>
          <w:p>
            <w:r>
              <w:rPr>
                <w:rFonts w:ascii="Arial" w:hAnsi="Arial"/>
                <w:b w:val="0"/>
                <w:i w:val="0"/>
                <w:sz w:val="18"/>
              </w:rPr>
              <w:t>Begründung, Restunsicherheit und Gegenargumente dokumentieren</w:t>
            </w:r>
          </w:p>
        </w:tc>
      </w:tr>
    </w:tbl>
    <w:p>
      <w:pPr>
        <w:pStyle w:val="Heading1"/>
        <w:spacing w:after="160" w:line="276" w:lineRule="auto"/>
      </w:pPr>
      <w:r>
        <w:rPr>
          <w:rFonts w:ascii="Arial" w:hAnsi="Arial"/>
          <w:b w:val="0"/>
          <w:i w:val="0"/>
          <w:sz w:val="22"/>
        </w:rPr>
        <w:t>8. Empfohlene Außenformulierung</w:t>
      </w:r>
    </w:p>
    <w:p>
      <w:pPr>
        <w:pStyle w:val="Heading2"/>
        <w:spacing w:after="80" w:line="276" w:lineRule="auto"/>
      </w:pPr>
      <w:r>
        <w:rPr>
          <w:rFonts w:ascii="Arial" w:hAnsi="Arial"/>
          <w:b w:val="0"/>
          <w:i w:val="0"/>
          <w:sz w:val="22"/>
        </w:rPr>
        <w:t>Für Paper, Professoren und Fördergeber empfiehlt sich folgende Rahmung:</w:t>
      </w:r>
    </w:p>
    <w:tbl>
      <w:tblPr>
        <w:tblW w:type="auto" w:w="0"/>
        <w:jc w:val="center"/>
        <w:tblLayout w:type="fixed"/>
        <w:tblLook w:firstColumn="1" w:firstRow="1" w:lastColumn="0" w:lastRow="0" w:noHBand="0" w:noVBand="1" w:val="04A0"/>
      </w:tblPr>
      <w:tblGrid>
        <w:gridCol w:w="9071"/>
      </w:tblGrid>
      <w:tr>
        <w:tc>
          <w:tcPr>
            <w:tcW w:type="dxa" w:w="9972"/>
            <w:shd w:fill="EEF4FB"/>
            <w:tcMar>
              <w:top w:w="140" w:type="dxa"/>
              <w:start w:w="150" w:type="dxa"/>
              <w:bottom w:w="140" w:type="dxa"/>
              <w:end w:w="150" w:type="dxa"/>
            </w:tcMar>
          </w:tcPr>
          <w:p>
            <w:r>
              <w:rPr>
                <w:rFonts w:ascii="Arial" w:hAnsi="Arial"/>
                <w:b w:val="0"/>
                <w:i w:val="0"/>
                <w:color w:val="373737"/>
                <w:sz w:val="20"/>
              </w:rPr>
              <w:t>"KOBI is a structured multi-AI deliberation protocol used to support complex design and governance decisions in the PLURALIS project. Multiple AI systems with complementary strengths are consulted, their outputs are compared for convergence and divergence, and final synthesis is performed by a human researcher. This approach does not automate judgment; it improves transparency, traceability, and perspective diversity in early-stage research and funding work."</w:t>
            </w:r>
          </w:p>
        </w:tc>
      </w:tr>
    </w:tbl>
    <w:p>
      <w:pPr>
        <w:pStyle w:val="Heading1"/>
        <w:spacing w:after="160" w:line="276" w:lineRule="auto"/>
      </w:pPr>
      <w:r>
        <w:rPr>
          <w:rFonts w:ascii="Arial" w:hAnsi="Arial"/>
          <w:b w:val="0"/>
          <w:i w:val="0"/>
          <w:sz w:val="22"/>
        </w:rPr>
        <w:t>9. Nächste Entwicklungsschritte</w:t>
      </w:r>
    </w:p>
    <w:tbl>
      <w:tblPr>
        <w:tblW w:type="auto" w:w="0"/>
        <w:jc w:val="center"/>
        <w:tblLayout w:type="fixed"/>
        <w:tblLook w:firstColumn="1" w:firstRow="1" w:lastColumn="0" w:lastRow="0" w:noHBand="0" w:noVBand="1" w:val="04A0"/>
      </w:tblPr>
      <w:tblGrid>
        <w:gridCol w:w="1814"/>
        <w:gridCol w:w="4422"/>
        <w:gridCol w:w="2778"/>
      </w:tblGrid>
      <w:tr>
        <w:tc>
          <w:tcPr>
            <w:tcW w:type="dxa" w:w="3324"/>
            <w:shd w:fill="DCE6F1"/>
            <w:tcMar>
              <w:top w:w="80" w:type="dxa"/>
              <w:start w:w="90" w:type="dxa"/>
              <w:bottom w:w="80" w:type="dxa"/>
              <w:end w:w="90" w:type="dxa"/>
            </w:tcMar>
          </w:tcPr>
          <w:p>
            <w:r>
              <w:rPr>
                <w:rFonts w:ascii="Arial" w:hAnsi="Arial"/>
                <w:b/>
                <w:i w:val="0"/>
                <w:color w:val="1F4E79"/>
                <w:sz w:val="19"/>
              </w:rPr>
              <w:t>Horizont</w:t>
            </w:r>
          </w:p>
        </w:tc>
        <w:tc>
          <w:tcPr>
            <w:tcW w:type="dxa" w:w="3324"/>
            <w:shd w:fill="DCE6F1"/>
            <w:tcMar>
              <w:top w:w="80" w:type="dxa"/>
              <w:start w:w="90" w:type="dxa"/>
              <w:bottom w:w="80" w:type="dxa"/>
              <w:end w:w="90" w:type="dxa"/>
            </w:tcMar>
          </w:tcPr>
          <w:p>
            <w:r>
              <w:rPr>
                <w:rFonts w:ascii="Arial" w:hAnsi="Arial"/>
                <w:b/>
                <w:i w:val="0"/>
                <w:color w:val="1F4E79"/>
                <w:sz w:val="19"/>
              </w:rPr>
              <w:t>Schwerpunkt</w:t>
            </w:r>
          </w:p>
        </w:tc>
        <w:tc>
          <w:tcPr>
            <w:tcW w:type="dxa" w:w="3324"/>
            <w:shd w:fill="DCE6F1"/>
            <w:tcMar>
              <w:top w:w="80" w:type="dxa"/>
              <w:start w:w="90" w:type="dxa"/>
              <w:bottom w:w="80" w:type="dxa"/>
              <w:end w:w="90" w:type="dxa"/>
            </w:tcMar>
          </w:tcPr>
          <w:p>
            <w:r>
              <w:rPr>
                <w:rFonts w:ascii="Arial" w:hAnsi="Arial"/>
                <w:b/>
                <w:i w:val="0"/>
                <w:color w:val="1F4E79"/>
                <w:sz w:val="19"/>
              </w:rPr>
              <w:t>Erfolgskriterium</w:t>
            </w:r>
          </w:p>
        </w:tc>
      </w:tr>
      <w:tr>
        <w:tc>
          <w:tcPr>
            <w:tcW w:type="dxa" w:w="1814"/>
            <w:tcMar>
              <w:top w:w="80" w:type="dxa"/>
              <w:start w:w="90" w:type="dxa"/>
              <w:bottom w:w="80" w:type="dxa"/>
              <w:end w:w="90" w:type="dxa"/>
            </w:tcMar>
          </w:tcPr>
          <w:p>
            <w:r>
              <w:rPr>
                <w:rFonts w:ascii="Arial" w:hAnsi="Arial"/>
                <w:b w:val="0"/>
                <w:i w:val="0"/>
                <w:sz w:val="18"/>
              </w:rPr>
              <w:t>0-4 Wochen</w:t>
            </w:r>
          </w:p>
        </w:tc>
        <w:tc>
          <w:tcPr>
            <w:tcW w:type="dxa" w:w="4422"/>
            <w:tcMar>
              <w:top w:w="80" w:type="dxa"/>
              <w:start w:w="90" w:type="dxa"/>
              <w:bottom w:w="80" w:type="dxa"/>
              <w:end w:w="90" w:type="dxa"/>
            </w:tcMar>
          </w:tcPr>
          <w:p>
            <w:r>
              <w:rPr>
                <w:rFonts w:ascii="Arial" w:hAnsi="Arial"/>
                <w:b w:val="0"/>
                <w:i w:val="0"/>
                <w:sz w:val="18"/>
              </w:rPr>
              <w:t>KOBI-Software v2 für strukturierte Erfassung, Vergleich, Export</w:t>
            </w:r>
          </w:p>
        </w:tc>
        <w:tc>
          <w:tcPr>
            <w:tcW w:type="dxa" w:w="2778"/>
            <w:tcMar>
              <w:top w:w="80" w:type="dxa"/>
              <w:start w:w="90" w:type="dxa"/>
              <w:bottom w:w="80" w:type="dxa"/>
              <w:end w:w="90" w:type="dxa"/>
            </w:tcMar>
          </w:tcPr>
          <w:p>
            <w:r>
              <w:rPr>
                <w:rFonts w:ascii="Arial" w:hAnsi="Arial"/>
                <w:b w:val="0"/>
                <w:i w:val="0"/>
                <w:sz w:val="18"/>
              </w:rPr>
              <w:t>standardisierte Logs ohne Reibungsverlust</w:t>
            </w:r>
          </w:p>
        </w:tc>
      </w:tr>
      <w:tr>
        <w:tc>
          <w:tcPr>
            <w:tcW w:type="dxa" w:w="1814"/>
            <w:tcMar>
              <w:top w:w="80" w:type="dxa"/>
              <w:start w:w="90" w:type="dxa"/>
              <w:bottom w:w="80" w:type="dxa"/>
              <w:end w:w="90" w:type="dxa"/>
            </w:tcMar>
          </w:tcPr>
          <w:p>
            <w:r>
              <w:rPr>
                <w:rFonts w:ascii="Arial" w:hAnsi="Arial"/>
                <w:b w:val="0"/>
                <w:i w:val="0"/>
                <w:sz w:val="18"/>
              </w:rPr>
              <w:t>1-3 Monate</w:t>
            </w:r>
          </w:p>
        </w:tc>
        <w:tc>
          <w:tcPr>
            <w:tcW w:type="dxa" w:w="4422"/>
            <w:tcMar>
              <w:top w:w="80" w:type="dxa"/>
              <w:start w:w="90" w:type="dxa"/>
              <w:bottom w:w="80" w:type="dxa"/>
              <w:end w:w="90" w:type="dxa"/>
            </w:tcMar>
          </w:tcPr>
          <w:p>
            <w:r>
              <w:rPr>
                <w:rFonts w:ascii="Arial" w:hAnsi="Arial"/>
                <w:b w:val="0"/>
                <w:i w:val="0"/>
                <w:sz w:val="18"/>
              </w:rPr>
              <w:t>2-3 reale Fallbeispiele als Appendix aufbereiten</w:t>
            </w:r>
          </w:p>
        </w:tc>
        <w:tc>
          <w:tcPr>
            <w:tcW w:type="dxa" w:w="2778"/>
            <w:tcMar>
              <w:top w:w="80" w:type="dxa"/>
              <w:start w:w="90" w:type="dxa"/>
              <w:bottom w:w="80" w:type="dxa"/>
              <w:end w:w="90" w:type="dxa"/>
            </w:tcMar>
          </w:tcPr>
          <w:p>
            <w:r>
              <w:rPr>
                <w:rFonts w:ascii="Arial" w:hAnsi="Arial"/>
                <w:b w:val="0"/>
                <w:i w:val="0"/>
                <w:sz w:val="18"/>
              </w:rPr>
              <w:t>bessere Förder- und Paper-Anschlussfähigkeit</w:t>
            </w:r>
          </w:p>
        </w:tc>
      </w:tr>
      <w:tr>
        <w:tc>
          <w:tcPr>
            <w:tcW w:type="dxa" w:w="1814"/>
            <w:tcMar>
              <w:top w:w="80" w:type="dxa"/>
              <w:start w:w="90" w:type="dxa"/>
              <w:bottom w:w="80" w:type="dxa"/>
              <w:end w:w="90" w:type="dxa"/>
            </w:tcMar>
          </w:tcPr>
          <w:p>
            <w:r>
              <w:rPr>
                <w:rFonts w:ascii="Arial" w:hAnsi="Arial"/>
                <w:b w:val="0"/>
                <w:i w:val="0"/>
                <w:sz w:val="18"/>
              </w:rPr>
              <w:t>3-6 Monate</w:t>
            </w:r>
          </w:p>
        </w:tc>
        <w:tc>
          <w:tcPr>
            <w:tcW w:type="dxa" w:w="4422"/>
            <w:tcMar>
              <w:top w:w="80" w:type="dxa"/>
              <w:start w:w="90" w:type="dxa"/>
              <w:bottom w:w="80" w:type="dxa"/>
              <w:end w:w="90" w:type="dxa"/>
            </w:tcMar>
          </w:tcPr>
          <w:p>
            <w:r>
              <w:rPr>
                <w:rFonts w:ascii="Arial" w:hAnsi="Arial"/>
                <w:b w:val="0"/>
                <w:i w:val="0"/>
                <w:sz w:val="18"/>
              </w:rPr>
              <w:t>Metriken rückblickend aus Sessions auswerten</w:t>
            </w:r>
          </w:p>
        </w:tc>
        <w:tc>
          <w:tcPr>
            <w:tcW w:type="dxa" w:w="2778"/>
            <w:tcMar>
              <w:top w:w="80" w:type="dxa"/>
              <w:start w:w="90" w:type="dxa"/>
              <w:bottom w:w="80" w:type="dxa"/>
              <w:end w:w="90" w:type="dxa"/>
            </w:tcMar>
          </w:tcPr>
          <w:p>
            <w:r>
              <w:rPr>
                <w:rFonts w:ascii="Arial" w:hAnsi="Arial"/>
                <w:b w:val="0"/>
                <w:i w:val="0"/>
                <w:sz w:val="18"/>
              </w:rPr>
              <w:t>erste Aussagen zu Nutzen und Grenzen des Protokolls</w:t>
            </w:r>
          </w:p>
        </w:tc>
      </w:tr>
      <w:tr>
        <w:tc>
          <w:tcPr>
            <w:tcW w:type="dxa" w:w="1814"/>
            <w:tcMar>
              <w:top w:w="80" w:type="dxa"/>
              <w:start w:w="90" w:type="dxa"/>
              <w:bottom w:w="80" w:type="dxa"/>
              <w:end w:w="90" w:type="dxa"/>
            </w:tcMar>
          </w:tcPr>
          <w:p>
            <w:r>
              <w:rPr>
                <w:rFonts w:ascii="Arial" w:hAnsi="Arial"/>
                <w:b w:val="0"/>
                <w:i w:val="0"/>
                <w:sz w:val="18"/>
              </w:rPr>
              <w:t>6+ Monate</w:t>
            </w:r>
          </w:p>
        </w:tc>
        <w:tc>
          <w:tcPr>
            <w:tcW w:type="dxa" w:w="4422"/>
            <w:tcMar>
              <w:top w:w="80" w:type="dxa"/>
              <w:start w:w="90" w:type="dxa"/>
              <w:bottom w:w="80" w:type="dxa"/>
              <w:end w:w="90" w:type="dxa"/>
            </w:tcMar>
          </w:tcPr>
          <w:p>
            <w:r>
              <w:rPr>
                <w:rFonts w:ascii="Arial" w:hAnsi="Arial"/>
                <w:b w:val="0"/>
                <w:i w:val="0"/>
                <w:sz w:val="18"/>
              </w:rPr>
              <w:t>teilautomatisierte Assistenzfunktionen mit Human Validation prüfen</w:t>
            </w:r>
          </w:p>
        </w:tc>
        <w:tc>
          <w:tcPr>
            <w:tcW w:type="dxa" w:w="2778"/>
            <w:tcMar>
              <w:top w:w="80" w:type="dxa"/>
              <w:start w:w="90" w:type="dxa"/>
              <w:bottom w:w="80" w:type="dxa"/>
              <w:end w:w="90" w:type="dxa"/>
            </w:tcMar>
          </w:tcPr>
          <w:p>
            <w:r>
              <w:rPr>
                <w:rFonts w:ascii="Arial" w:hAnsi="Arial"/>
                <w:b w:val="0"/>
                <w:i w:val="0"/>
                <w:sz w:val="18"/>
              </w:rPr>
              <w:t>mehr Effizienz ohne Verlust an Verantwortlichkeit</w:t>
            </w:r>
          </w:p>
        </w:tc>
      </w:tr>
    </w:tbl>
    <w:p>
      <w:pPr>
        <w:pStyle w:val="Heading2"/>
        <w:spacing w:after="80" w:line="276" w:lineRule="auto"/>
      </w:pPr>
      <w:r>
        <w:rPr>
          <w:rFonts w:ascii="Arial" w:hAnsi="Arial"/>
          <w:b w:val="0"/>
          <w:i w:val="0"/>
          <w:sz w:val="22"/>
        </w:rPr>
        <w:t>Schlussformel</w:t>
      </w:r>
    </w:p>
    <w:p>
      <w:pPr>
        <w:spacing w:after="160" w:line="276" w:lineRule="auto"/>
      </w:pPr>
      <w:r>
        <w:rPr>
          <w:rFonts w:ascii="Arial" w:hAnsi="Arial"/>
          <w:b/>
          <w:i w:val="0"/>
          <w:color w:val="2C3E50"/>
          <w:sz w:val="22"/>
        </w:rPr>
        <w:t>PLURALIS ist die Vision. KOBI ist die erste belastbare Arbeitsmethode, mit der diese Vision unter realen Bedingungen entwickelt, geprüft und dokumentiert werden kann.</w:t>
      </w:r>
    </w:p>
    <w:p>
      <w:pPr>
        <w:spacing w:after="120" w:line="276" w:lineRule="auto"/>
        <w:jc w:val="center"/>
      </w:pPr>
      <w:r>
        <w:rPr>
          <w:rFonts w:ascii="Arial" w:hAnsi="Arial"/>
          <w:b w:val="0"/>
          <w:i w:val="0"/>
          <w:color w:val="6E6E6E"/>
          <w:sz w:val="19"/>
        </w:rPr>
        <w:t>Ende des Dokuments</w:t>
      </w:r>
    </w:p>
    <w:sectPr w:rsidR="00FC693F" w:rsidRPr="0006063C" w:rsidSect="00034616">
      <w:headerReference w:type="default" r:id="rId9"/>
      <w:footerReference w:type="default" r:id="rId10"/>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46464"/>
        <w:sz w:val="18"/>
      </w:rPr>
      <w:t>PLURALIS Methodikdokument  |  Version 1.1  |  März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5A5A5A"/>
        <w:sz w:val="18"/>
      </w:rPr>
      <w:t>KOBI v1.1  |  Formales Protokoll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4495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646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