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3. MODALIDAD DEL CONTRATO Y PRESUPUESTO {{ TIPO_PRESUPUESTO_TITULO }}</w:t>
      </w:r>
    </w:p>
    <w:p>
      <w:pPr>
        <w:jc w:val="both"/>
      </w:pPr>
      <w:r>
        <w:t>La presente propuesta pública es a {{ MODALIDAD_CONTRATO }}, con asignación simple al total ofertado, pudiéndose adjudicar a un solo oferente, siempre que sea lo más conveniente para los intereses municipales.</w:t>
      </w:r>
    </w:p>
    <w:p>
      <w:pPr>
        <w:jc w:val="both"/>
      </w:pPr>
      <w:r>
        <w:t>La oferta se deberá realizar en {{ MONEDA_OFERTA }}, {% if REAJUSTE %}con reajustes según lo dispuesto en el numeral 14.1 de estas Bases{% else %}sin reajustes{% endif %}, sin intereses ni anticipos, con un presupuesto {{ TIPO_PRESUPUESTO }}, según lo indicado en el siguiente cuadro:</w:t>
      </w:r>
    </w:p>
    <w:tbl>
      <w:tblPr>
        <w:tblStyle w:val="TableGrid"/>
        <w:tblW w:type="auto" w:w="0"/>
        <w:tblLook w:firstColumn="1" w:firstRow="1" w:lastColumn="0" w:lastRow="0" w:noHBand="0" w:noVBand="1" w:val="04A0"/>
      </w:tblPr>
      <w:tblGrid>
        <w:gridCol w:w="4320"/>
        <w:gridCol w:w="4320"/>
      </w:tblGrid>
      <w:tr>
        <w:tc>
          <w:tcPr>
            <w:tcW w:type="dxa" w:w="4320"/>
          </w:tcPr>
          <w:p>
            <w:r>
              <w:rPr>
                <w:b/>
              </w:rPr>
              <w:t>Descripción</w:t>
            </w:r>
          </w:p>
        </w:tc>
        <w:tc>
          <w:tcPr>
            <w:tcW w:type="dxa" w:w="4320"/>
          </w:tcPr>
          <w:p>
            <w:r>
              <w:rPr>
                <w:b/>
              </w:rPr>
              <w:t>Presupuesto {{ TIPO_PRESUPUESTO_TITULO }} – IVA Incluido</w:t>
            </w:r>
          </w:p>
        </w:tc>
      </w:tr>
      <w:tr>
        <w:tc>
          <w:tcPr>
            <w:tcW w:type="dxa" w:w="4320"/>
          </w:tcPr>
          <w:p>
            <w:r>
              <w:t>{{ DESC_PRESUPUESTO }}</w:t>
            </w:r>
          </w:p>
        </w:tc>
        <w:tc>
          <w:tcPr>
            <w:tcW w:type="dxa" w:w="4320"/>
          </w:tcPr>
          <w:p>
            <w:r>
              <w:t>{{ PRESUPUESTO }}</w:t>
            </w:r>
          </w:p>
        </w:tc>
      </w:tr>
    </w:tbl>
    <w:p>
      <w:pPr>
        <w:jc w:val="both"/>
      </w:pPr>
      <w:r>
        <w:t>El Financiamiento de la Propuesta Pública tiene su origen en {{ ORIGEN_FONDOS }}.</w:t>
      </w:r>
    </w:p>
    <w:p/>
    <w:p>
      <w:r>
        <w:rPr>
          <w:b/>
          <w:sz w:val="24"/>
        </w:rPr>
        <w:t>11.2. GARANTÍA DE FIEL Y OPORTUNO CUMPLIMIENTO DE CONTRATO</w:t>
      </w:r>
    </w:p>
    <w:p>
      <w:pPr>
        <w:jc w:val="both"/>
      </w:pPr>
      <w:r>
        <w:t>El contratista deberá garantizar el Fiel y Oportuno Cumplimiento del Contrato, mediante un vale vista, boleta de garantía, certificado de fianza, póliza de seguro electrónico, póliza de liquidez inmediata o cualquier otro instrumento que sirva como garantía y que asegure de manera rápida y efectiva, siempre que cumpla las disposiciones legales y reglamentarias del caso y que tenga el carácter de irrevocable y pagadera a la vista, tomado por el contratista o por un tercero a su nombre, el que deberá ser extendido a la orden de la Tesorería Municipal de Maipú o de la Municipalidad de Maipú, por un monto correspondiente al {{ PCT_GARANTIA_FIEL }} del precio final neto ofertado por el Adjudicatario. Dicha garantía puede ser compuesta por uno o varios instrumentos de la misma naturaleza.</w:t>
      </w:r>
    </w:p>
    <w:p>
      <w:r>
        <w:t>{%p if PRESUPUESTO_DISPONIBLE %}</w:t>
      </w:r>
    </w:p>
    <w:p>
      <w:pPr>
        <w:jc w:val="both"/>
      </w:pPr>
      <w:r>
        <w:rPr>
          <w:b/>
          <w:i/>
        </w:rPr>
        <w:t>"¡NOTA!: Que, en relación con lo dispuesto en el artículo 121 del Reglamento de la Ley N° 19.886, dado que esta licitación pública se adjudicará al total de los recursos disponibles, se entenderá por precio final el presupuesto señalado en el numeral 3 de las presentes bases, por lo que el {{ PCT_GARANTIA_FIEL }} deberá calcularse respecto del presupuesto indicado en el citado numeral."</w:t>
      </w:r>
    </w:p>
    <w:p>
      <w:r>
        <w:t>{%p endif %}</w:t>
      </w:r>
    </w:p>
    <w:p>
      <w:pPr>
        <w:jc w:val="both"/>
      </w:pPr>
      <w:r>
        <w:t>Las Garantías deberán contener la siguiente glosa: {{ GLOSA_GARANTIA }}</w:t>
      </w:r>
    </w:p>
    <w:p>
      <w:pPr>
        <w:jc w:val="both"/>
      </w:pPr>
      <w:r>
        <w:t>El instrumento que garantiza el fiel y oportuno cumplimiento de la contratación deberá mantener una vigencia de {{ VIGENCIA_GARANTIA_DIAS }} días hábiles adicionales al plazo de término {{ INSTRUMENTO_DEL }}. De igual forma se aceptarán aquellas garantías con un plazo superior al indicado.</w:t>
      </w:r>
    </w:p>
    <w:p>
      <w:pPr>
        <w:jc w:val="both"/>
      </w:pPr>
      <w:r>
        <w:t>La garantía de Fiel y Oportuno Cumplimiento {{ INSTRUMENTO_DEL }} se devolverá al contratista a su solicitud, por escrito, previa presentación del certificado emitido por la U.T., a través del cual ésta certifica que recepcionó a entera conformidad {{ OBJETO_RECEPCION }}.</w:t>
      </w:r>
    </w:p>
    <w:p>
      <w:r>
        <w:rPr>
          <w:b/>
          <w:sz w:val="22"/>
        </w:rPr>
        <w:t>11.2.1 COBRO DE GARANTÍA DE FIEL Y OPORTUNO CUMPLIMIENTO</w:t>
      </w:r>
    </w:p>
    <w:p>
      <w:pPr>
        <w:jc w:val="both"/>
      </w:pPr>
      <w:r>
        <w:t>La Municipalidad estará facultada para hacer efectivo el cobro de la garantía de fiel y oportuno cumplimiento en los siguientes casos:</w:t>
      </w:r>
    </w:p>
    <w:p>
      <w:pPr>
        <w:jc w:val="both"/>
      </w:pPr>
      <w:r>
        <w:t>a) Si pendiente el cobro del único o último estado de pago, el monto de la o las multas aplicadas no pudiera ser cubierto por éstas.</w:t>
      </w:r>
    </w:p>
    <w:p>
      <w:pPr>
        <w:jc w:val="both"/>
      </w:pPr>
      <w:r>
        <w:t>b) Si a juicio de la Municipalidad el contratista hubiere incumplido gravemente las obligaciones contraídas, entendiendo por tales las infracciones detalladas en el numeral 15.1. Para efectos de esta causal se entenderá por graves aquellas conductas catalogadas con esa nomenclatura en el punto 15.1 de estas bases y por reiterado la repetición de estas conductas por {{ N_CONDUCTAS_REITERADO }} veces durante la ejecución {{ INSTRUMENTO_DEL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