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4E79"/>
          <w:sz w:val="28"/>
          <w:szCs w:val="28"/>
        </w:rPr>
        <w:t xml:space="preserve">NEXORA TECHNOLOGIES PVT. LTD.</w:t>
      </w:r>
    </w:p>
    <w:p>
      <w:pPr>
        <w:spacing w:before="80" w:after="80"/>
      </w:pPr>
      <w:r>
        <w:t xml:space="preserve"/>
      </w:r>
    </w:p>
    <w:p>
      <w:pPr>
        <w:jc w:val="center"/>
      </w:pPr>
      <w:r>
        <w:rPr>
          <w:rFonts w:ascii="Arial" w:cs="Arial" w:eastAsia="Arial" w:hAnsi="Arial"/>
          <w:b/>
          <w:bCs/>
          <w:color w:val="1F4E79"/>
          <w:sz w:val="48"/>
          <w:szCs w:val="48"/>
        </w:rPr>
        <w:t xml:space="preserve">HR POLICY HANDBOOK</w:t>
      </w:r>
    </w:p>
    <w:p>
      <w:pPr>
        <w:jc w:val="center"/>
      </w:pPr>
      <w:r>
        <w:rPr>
          <w:rFonts w:ascii="Arial" w:cs="Arial" w:eastAsia="Arial" w:hAnsi="Arial"/>
          <w:color w:val="555555"/>
          <w:sz w:val="26"/>
          <w:szCs w:val="26"/>
        </w:rPr>
        <w:t xml:space="preserve">Human Resources — All Employees</w:t>
      </w:r>
    </w:p>
    <w:p>
      <w:pPr>
        <w:spacing w:before="720"/>
      </w:pPr>
      <w:r>
        <w:t xml:space="preserve"/>
      </w:r>
    </w:p>
    <w:p>
      <w:pPr>
        <w:jc w:val="center"/>
      </w:pPr>
      <w:r>
        <w:rPr>
          <w:rFonts w:ascii="Arial" w:cs="Arial" w:eastAsia="Arial" w:hAnsi="Arial"/>
          <w:color w:val="777777"/>
          <w:sz w:val="22"/>
          <w:szCs w:val="22"/>
        </w:rPr>
        <w:t xml:space="preserve">Version 3.1  |  Effective: January 1, 2025</w:t>
      </w:r>
    </w:p>
    <w:p>
      <w:pPr>
        <w:pageBreakBefore/>
      </w:pPr>
      <w:r>
        <w:b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1. Company Overview</w:t>
      </w:r>
    </w:p>
    <w:p>
      <w:pPr>
        <w:spacing w:before="60" w:after="60"/>
        <w:jc w:val="both"/>
      </w:pPr>
      <w:r>
        <w:rPr>
          <w:rFonts w:ascii="Arial" w:cs="Arial" w:eastAsia="Arial" w:hAnsi="Arial"/>
          <w:sz w:val="22"/>
          <w:szCs w:val="22"/>
        </w:rPr>
        <w:t xml:space="preserve">Nexora Technologies Pvt. Ltd. is a B2B SaaS company headquartered in Bengaluru, Karnataka, India. Founded in 2019, Nexora builds AI-powered workflow automation tools for mid-size enterprises across Southeast Asia. The company currently employs 52 full-time employees across Engineering, Product, Sales, Customer Success, and Operations.</w:t>
      </w:r>
    </w:p>
    <w:p>
      <w:pPr>
        <w:spacing w:before="60" w:after="60"/>
        <w:jc w:val="both"/>
      </w:pPr>
      <w:r>
        <w:rPr>
          <w:rFonts w:ascii="Arial" w:cs="Arial" w:eastAsia="Arial" w:hAnsi="Arial"/>
          <w:sz w:val="22"/>
          <w:szCs w:val="22"/>
        </w:rPr>
        <w:t xml:space="preserve">Registered Office: 4th Floor, Prestige Tech Park, Outer Ring Road, Marathahalli, Bengaluru – 560103</w:t>
      </w:r>
    </w:p>
    <w:p>
      <w:pPr>
        <w:spacing w:before="60" w:after="60"/>
        <w:jc w:val="both"/>
      </w:pPr>
      <w:r>
        <w:rPr>
          <w:rFonts w:ascii="Arial" w:cs="Arial" w:eastAsia="Arial" w:hAnsi="Arial"/>
          <w:sz w:val="22"/>
          <w:szCs w:val="22"/>
        </w:rPr>
        <w:t xml:space="preserve">CIN: U72900KA2019PTC112345 | GST: 29AADCN1234A1Z5</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2. Employment Terms</w:t>
      </w:r>
    </w:p>
    <w:p>
      <w:pPr>
        <w:pStyle w:val="Heading2"/>
        <w:spacing w:before="240" w:after="120"/>
      </w:pPr>
      <w:r>
        <w:rPr>
          <w:rFonts w:ascii="Arial" w:cs="Arial" w:eastAsia="Arial" w:hAnsi="Arial"/>
          <w:b/>
          <w:bCs/>
          <w:color w:val="2E75B6"/>
          <w:sz w:val="26"/>
          <w:szCs w:val="26"/>
        </w:rPr>
        <w:t xml:space="preserve">2.1 Employment Types</w:t>
      </w:r>
    </w:p>
    <w:p>
      <w:pPr>
        <w:spacing w:before="60" w:after="60"/>
        <w:jc w:val="both"/>
      </w:pPr>
      <w:r>
        <w:rPr>
          <w:rFonts w:ascii="Arial" w:cs="Arial" w:eastAsia="Arial" w:hAnsi="Arial"/>
          <w:sz w:val="22"/>
          <w:szCs w:val="22"/>
        </w:rPr>
        <w:t xml:space="preserve">Nexora recognizes the following employment categories:</w:t>
      </w:r>
    </w:p>
    <w:p>
      <w:pPr>
        <w:pStyle w:val="ListParagraph"/>
        <w:numPr>
          <w:ilvl w:val="0"/>
          <w:numId w:val="2"/>
        </w:numPr>
        <w:spacing w:before="40" w:after="40"/>
      </w:pPr>
      <w:r>
        <w:rPr>
          <w:rFonts w:ascii="Arial" w:cs="Arial" w:eastAsia="Arial" w:hAnsi="Arial"/>
          <w:sz w:val="22"/>
          <w:szCs w:val="22"/>
        </w:rPr>
        <w:t xml:space="preserve">Full-Time Employee (FTE): Standard employment with all benefits. Minimum commitment of 40 hours per week.</w:t>
      </w:r>
    </w:p>
    <w:p>
      <w:pPr>
        <w:pStyle w:val="ListParagraph"/>
        <w:numPr>
          <w:ilvl w:val="0"/>
          <w:numId w:val="2"/>
        </w:numPr>
        <w:spacing w:before="40" w:after="40"/>
      </w:pPr>
      <w:r>
        <w:rPr>
          <w:rFonts w:ascii="Arial" w:cs="Arial" w:eastAsia="Arial" w:hAnsi="Arial"/>
          <w:sz w:val="22"/>
          <w:szCs w:val="22"/>
        </w:rPr>
        <w:t xml:space="preserve">Probationary Employee: All new hires undergo a 90-day probation period. During this period, either party may terminate employment with 7 days written notice.</w:t>
      </w:r>
    </w:p>
    <w:p>
      <w:pPr>
        <w:pStyle w:val="ListParagraph"/>
        <w:numPr>
          <w:ilvl w:val="0"/>
          <w:numId w:val="2"/>
        </w:numPr>
        <w:spacing w:before="40" w:after="40"/>
      </w:pPr>
      <w:r>
        <w:rPr>
          <w:rFonts w:ascii="Arial" w:cs="Arial" w:eastAsia="Arial" w:hAnsi="Arial"/>
          <w:sz w:val="22"/>
          <w:szCs w:val="22"/>
        </w:rPr>
        <w:t xml:space="preserve">Contract Employee: Fixed-term engagement for specific projects. Not eligible for Nexora benefits unless explicitly stated in the contract.</w:t>
      </w:r>
    </w:p>
    <w:p>
      <w:pPr>
        <w:pStyle w:val="ListParagraph"/>
        <w:numPr>
          <w:ilvl w:val="0"/>
          <w:numId w:val="2"/>
        </w:numPr>
        <w:spacing w:before="40" w:after="40"/>
      </w:pPr>
      <w:r>
        <w:rPr>
          <w:rFonts w:ascii="Arial" w:cs="Arial" w:eastAsia="Arial" w:hAnsi="Arial"/>
          <w:sz w:val="22"/>
          <w:szCs w:val="22"/>
        </w:rPr>
        <w:t xml:space="preserve">Intern: Students or recent graduates engaged for 2–6 months. Paid a monthly stipend as specified in the offer letter.</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Working Hours</w:t>
      </w:r>
    </w:p>
    <w:p>
      <w:pPr>
        <w:spacing w:before="60" w:after="60"/>
        <w:jc w:val="both"/>
      </w:pPr>
      <w:r>
        <w:rPr>
          <w:rFonts w:ascii="Arial" w:cs="Arial" w:eastAsia="Arial" w:hAnsi="Arial"/>
          <w:sz w:val="22"/>
          <w:szCs w:val="22"/>
        </w:rPr>
        <w:t xml:space="preserve">Standard working hours at Nexora are Monday through Friday, 9:30 AM to 6:30 PM IST, totaling 45 hours per week. Employees are entitled to a 1-hour unpaid lunch break daily.</w:t>
      </w:r>
    </w:p>
    <w:p>
      <w:pPr>
        <w:spacing w:before="60" w:after="60"/>
        <w:jc w:val="both"/>
      </w:pPr>
      <w:r>
        <w:rPr>
          <w:rFonts w:ascii="Arial" w:cs="Arial" w:eastAsia="Arial" w:hAnsi="Arial"/>
          <w:sz w:val="22"/>
          <w:szCs w:val="22"/>
        </w:rPr>
        <w:t xml:space="preserve">Engineering and Product teams operate on a flexible hours model — core overlap hours are 11:00 AM to 4:00 PM IST. Teams must ensure attendance during this window for standups and collaboration. Outside these hours, employees may adjust their schedule with manager approval.</w:t>
      </w:r>
    </w:p>
    <w:p>
      <w:pPr>
        <w:spacing w:before="60" w:after="60"/>
        <w:jc w:val="both"/>
      </w:pPr>
      <w:r>
        <w:rPr>
          <w:rFonts w:ascii="Arial" w:cs="Arial" w:eastAsia="Arial" w:hAnsi="Arial"/>
          <w:sz w:val="22"/>
          <w:szCs w:val="22"/>
        </w:rPr>
        <w:t xml:space="preserve">Remote work is permitted up to 3 days per week for roles not requiring on-site client interaction. All remote work arrangements must be documented with HR within 30 days of joining.</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2.3 Dress Code</w:t>
      </w:r>
    </w:p>
    <w:p>
      <w:pPr>
        <w:spacing w:before="60" w:after="60"/>
        <w:jc w:val="both"/>
      </w:pPr>
      <w:r>
        <w:rPr>
          <w:rFonts w:ascii="Arial" w:cs="Arial" w:eastAsia="Arial" w:hAnsi="Arial"/>
          <w:sz w:val="22"/>
          <w:szCs w:val="22"/>
        </w:rPr>
        <w:t xml:space="preserve">Nexora maintains a business casual dress code on office days. Employees are expected to dress appropriately when attending client meetings, conferences, or external events. Formal attire may be required for specific occasions as communicated by management.</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3. Leave Policy</w:t>
      </w:r>
    </w:p>
    <w:p>
      <w:pPr>
        <w:pStyle w:val="Heading2"/>
        <w:spacing w:before="240" w:after="120"/>
      </w:pPr>
      <w:r>
        <w:rPr>
          <w:rFonts w:ascii="Arial" w:cs="Arial" w:eastAsia="Arial" w:hAnsi="Arial"/>
          <w:b/>
          <w:bCs/>
          <w:color w:val="2E75B6"/>
          <w:sz w:val="26"/>
          <w:szCs w:val="26"/>
        </w:rPr>
        <w:t xml:space="preserve">3.1 Annual Leave (Earned Leave)</w:t>
      </w:r>
    </w:p>
    <w:p>
      <w:pPr>
        <w:spacing w:before="60" w:after="60"/>
        <w:jc w:val="both"/>
      </w:pPr>
      <w:r>
        <w:rPr>
          <w:rFonts w:ascii="Arial" w:cs="Arial" w:eastAsia="Arial" w:hAnsi="Arial"/>
          <w:sz w:val="22"/>
          <w:szCs w:val="22"/>
        </w:rPr>
        <w:t xml:space="preserve">All confirmed full-time employees are entitled to 18 days of paid Earned Leave (EL) per calendar year, accruing at 1.5 days per month starting from the date of confirmation (post-probation). During probation, no EL is accrued.</w:t>
      </w:r>
    </w:p>
    <w:p>
      <w:pPr>
        <w:spacing w:before="60" w:after="60"/>
        <w:jc w:val="both"/>
      </w:pPr>
      <w:r>
        <w:rPr>
          <w:rFonts w:ascii="Arial" w:cs="Arial" w:eastAsia="Arial" w:hAnsi="Arial"/>
          <w:sz w:val="22"/>
          <w:szCs w:val="22"/>
        </w:rPr>
        <w:t xml:space="preserve">Key rules:</w:t>
      </w:r>
    </w:p>
    <w:p>
      <w:pPr>
        <w:pStyle w:val="ListParagraph"/>
        <w:numPr>
          <w:ilvl w:val="0"/>
          <w:numId w:val="2"/>
        </w:numPr>
        <w:spacing w:before="40" w:after="40"/>
      </w:pPr>
      <w:r>
        <w:rPr>
          <w:rFonts w:ascii="Arial" w:cs="Arial" w:eastAsia="Arial" w:hAnsi="Arial"/>
          <w:sz w:val="22"/>
          <w:szCs w:val="22"/>
        </w:rPr>
        <w:t xml:space="preserve">Minimum leave request: 0.5 days (half-day).</w:t>
      </w:r>
    </w:p>
    <w:p>
      <w:pPr>
        <w:pStyle w:val="ListParagraph"/>
        <w:numPr>
          <w:ilvl w:val="0"/>
          <w:numId w:val="2"/>
        </w:numPr>
        <w:spacing w:before="40" w:after="40"/>
      </w:pPr>
      <w:r>
        <w:rPr>
          <w:rFonts w:ascii="Arial" w:cs="Arial" w:eastAsia="Arial" w:hAnsi="Arial"/>
          <w:sz w:val="22"/>
          <w:szCs w:val="22"/>
        </w:rPr>
        <w:t xml:space="preserve">Leaves must be applied at least 3 working days in advance, except for emergencies.</w:t>
      </w:r>
    </w:p>
    <w:p>
      <w:pPr>
        <w:pStyle w:val="ListParagraph"/>
        <w:numPr>
          <w:ilvl w:val="0"/>
          <w:numId w:val="2"/>
        </w:numPr>
        <w:spacing w:before="40" w:after="40"/>
      </w:pPr>
      <w:r>
        <w:rPr>
          <w:rFonts w:ascii="Arial" w:cs="Arial" w:eastAsia="Arial" w:hAnsi="Arial"/>
          <w:sz w:val="22"/>
          <w:szCs w:val="22"/>
        </w:rPr>
        <w:t xml:space="preserve">A maximum of 9 EL days may be carried forward to the next calendar year. Any excess lapses on December 31st.</w:t>
      </w:r>
    </w:p>
    <w:p>
      <w:pPr>
        <w:pStyle w:val="ListParagraph"/>
        <w:numPr>
          <w:ilvl w:val="0"/>
          <w:numId w:val="2"/>
        </w:numPr>
        <w:spacing w:before="40" w:after="40"/>
      </w:pPr>
      <w:r>
        <w:rPr>
          <w:rFonts w:ascii="Arial" w:cs="Arial" w:eastAsia="Arial" w:hAnsi="Arial"/>
          <w:sz w:val="22"/>
          <w:szCs w:val="22"/>
        </w:rPr>
        <w:t xml:space="preserve">Encashment of unused EL is permitted at the time of resignation or retirement up to a maximum of 30 accumulated days.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3.2 Sick Leave</w:t>
      </w:r>
    </w:p>
    <w:p>
      <w:pPr>
        <w:spacing w:before="60" w:after="60"/>
        <w:jc w:val="both"/>
      </w:pPr>
      <w:r>
        <w:rPr>
          <w:rFonts w:ascii="Arial" w:cs="Arial" w:eastAsia="Arial" w:hAnsi="Arial"/>
          <w:sz w:val="22"/>
          <w:szCs w:val="22"/>
        </w:rPr>
        <w:t xml:space="preserve">All employees (including probationary) are entitled to 12 days of Sick Leave (SL) per calendar year, non-cumulative. SL does not carry forward and cannot be encashed.</w:t>
      </w:r>
    </w:p>
    <w:p>
      <w:pPr>
        <w:spacing w:before="60" w:after="60"/>
        <w:jc w:val="both"/>
      </w:pPr>
      <w:r>
        <w:rPr>
          <w:rFonts w:ascii="Arial" w:cs="Arial" w:eastAsia="Arial" w:hAnsi="Arial"/>
          <w:sz w:val="22"/>
          <w:szCs w:val="22"/>
        </w:rPr>
        <w:t xml:space="preserve">For sick leave exceeding 3 consecutive working days, a medical certificate from a registered practitioner must be submitted to HR within 5 working days of return.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3.3 Casual Leave</w:t>
      </w:r>
    </w:p>
    <w:p>
      <w:pPr>
        <w:spacing w:before="60" w:after="60"/>
        <w:jc w:val="both"/>
      </w:pPr>
      <w:r>
        <w:rPr>
          <w:rFonts w:ascii="Arial" w:cs="Arial" w:eastAsia="Arial" w:hAnsi="Arial"/>
          <w:sz w:val="22"/>
          <w:szCs w:val="22"/>
        </w:rPr>
        <w:t xml:space="preserve">Each employee receives 6 days of Casual Leave (CL) per calendar year for personal emergencies, family events, or unplanned situations. CL cannot be clubbed with Earned Leave and does not carry forward.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3.4 Maternity Leave</w:t>
      </w:r>
    </w:p>
    <w:p>
      <w:pPr>
        <w:spacing w:before="60" w:after="60"/>
        <w:jc w:val="both"/>
      </w:pPr>
      <w:r>
        <w:rPr>
          <w:rFonts w:ascii="Arial" w:cs="Arial" w:eastAsia="Arial" w:hAnsi="Arial"/>
          <w:sz w:val="22"/>
          <w:szCs w:val="22"/>
        </w:rPr>
        <w:t xml:space="preserve">Female employees are entitled to 26 weeks of paid Maternity Leave as per the Maternity Benefit (Amendment) Act, 2017. This is applicable after 80 days of employment with Nexora. For the 3rd child or subsequent pregnancies, maternity leave is 12 weeks.</w:t>
      </w:r>
    </w:p>
    <w:p>
      <w:pPr>
        <w:spacing w:before="60" w:after="60"/>
        <w:jc w:val="both"/>
      </w:pPr>
      <w:r>
        <w:rPr>
          <w:rFonts w:ascii="Arial" w:cs="Arial" w:eastAsia="Arial" w:hAnsi="Arial"/>
          <w:sz w:val="22"/>
          <w:szCs w:val="22"/>
        </w:rPr>
        <w:t xml:space="preserve">Additionally, Nexora provides:</w:t>
      </w:r>
    </w:p>
    <w:p>
      <w:pPr>
        <w:pStyle w:val="ListParagraph"/>
        <w:numPr>
          <w:ilvl w:val="0"/>
          <w:numId w:val="2"/>
        </w:numPr>
        <w:spacing w:before="40" w:after="40"/>
      </w:pPr>
      <w:r>
        <w:rPr>
          <w:rFonts w:ascii="Arial" w:cs="Arial" w:eastAsia="Arial" w:hAnsi="Arial"/>
          <w:sz w:val="22"/>
          <w:szCs w:val="22"/>
        </w:rPr>
        <w:t xml:space="preserve">Nursing breaks of 2 x 15 minutes daily for 12 months after childbirth.</w:t>
      </w:r>
    </w:p>
    <w:p>
      <w:pPr>
        <w:pStyle w:val="ListParagraph"/>
        <w:numPr>
          <w:ilvl w:val="0"/>
          <w:numId w:val="2"/>
        </w:numPr>
        <w:spacing w:before="40" w:after="40"/>
      </w:pPr>
      <w:r>
        <w:rPr>
          <w:rFonts w:ascii="Arial" w:cs="Arial" w:eastAsia="Arial" w:hAnsi="Arial"/>
          <w:sz w:val="22"/>
          <w:szCs w:val="22"/>
        </w:rPr>
        <w:t xml:space="preserve">Work-from-home accommodation for 6 months post return, subject to role requirements.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3.5 Paternity Leave</w:t>
      </w:r>
    </w:p>
    <w:p>
      <w:pPr>
        <w:spacing w:before="60" w:after="60"/>
        <w:jc w:val="both"/>
      </w:pPr>
      <w:r>
        <w:rPr>
          <w:rFonts w:ascii="Arial" w:cs="Arial" w:eastAsia="Arial" w:hAnsi="Arial"/>
          <w:sz w:val="22"/>
          <w:szCs w:val="22"/>
        </w:rPr>
        <w:t xml:space="preserve">Male employees are entitled to 10 working days of paid Paternity Leave, to be availed within 3 months of the child's birth or adoption. This is available from day one of employment.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3.6 Bereavement Leave</w:t>
      </w:r>
    </w:p>
    <w:p>
      <w:pPr>
        <w:spacing w:before="60" w:after="60"/>
        <w:jc w:val="both"/>
      </w:pPr>
      <w:r>
        <w:rPr>
          <w:rFonts w:ascii="Arial" w:cs="Arial" w:eastAsia="Arial" w:hAnsi="Arial"/>
          <w:sz w:val="22"/>
          <w:szCs w:val="22"/>
        </w:rPr>
        <w:t xml:space="preserve">Employees may take up to 5 days of paid Bereavement Leave for the death of an immediate family member (spouse, child, parent, sibling). For extended family (grandparents, in-laws), 2 days are permitted. This leave is separate from all other leave types.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3.7 Public Holidays</w:t>
      </w:r>
    </w:p>
    <w:p>
      <w:pPr>
        <w:spacing w:before="60" w:after="60"/>
        <w:jc w:val="both"/>
      </w:pPr>
      <w:r>
        <w:rPr>
          <w:rFonts w:ascii="Arial" w:cs="Arial" w:eastAsia="Arial" w:hAnsi="Arial"/>
          <w:sz w:val="22"/>
          <w:szCs w:val="22"/>
        </w:rPr>
        <w:t xml:space="preserve">Nexora observes 10 mandatory national public holidays and provides a floating holiday list from which employees may choose 4 additional days per year. The holiday calendar is published in December for the following year on the internal Notion workspace.</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4. Compensation &amp; Payroll</w:t>
      </w:r>
    </w:p>
    <w:p>
      <w:pPr>
        <w:pStyle w:val="Heading2"/>
        <w:spacing w:before="240" w:after="120"/>
      </w:pPr>
      <w:r>
        <w:rPr>
          <w:rFonts w:ascii="Arial" w:cs="Arial" w:eastAsia="Arial" w:hAnsi="Arial"/>
          <w:b/>
          <w:bCs/>
          <w:color w:val="2E75B6"/>
          <w:sz w:val="26"/>
          <w:szCs w:val="26"/>
        </w:rPr>
        <w:t xml:space="preserve">4.1 Salary Structure</w:t>
      </w:r>
    </w:p>
    <w:p>
      <w:pPr>
        <w:spacing w:before="60" w:after="60"/>
        <w:jc w:val="both"/>
      </w:pPr>
      <w:r>
        <w:rPr>
          <w:rFonts w:ascii="Arial" w:cs="Arial" w:eastAsia="Arial" w:hAnsi="Arial"/>
          <w:sz w:val="22"/>
          <w:szCs w:val="22"/>
        </w:rPr>
        <w:t xml:space="preserve">Employee compensation at Nexora is structured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Basic Salary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of Gross CTC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of Basic (Bengaluru)</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Special Allowance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 balances the CTC to target gross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Provident Fund (Employer)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of Basic — statutory contribution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Gratuity Provision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4.81% of Basic — as per Payment of Gratuity Act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Performance Bonus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15% of annual CTC — paid in Q1 of next FY</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4.2 Payroll Cycle</w:t>
      </w:r>
    </w:p>
    <w:p>
      <w:pPr>
        <w:spacing w:before="60" w:after="60"/>
        <w:jc w:val="both"/>
      </w:pPr>
      <w:r>
        <w:rPr>
          <w:rFonts w:ascii="Arial" w:cs="Arial" w:eastAsia="Arial" w:hAnsi="Arial"/>
          <w:sz w:val="22"/>
          <w:szCs w:val="22"/>
        </w:rPr>
        <w:t xml:space="preserve">Salaries are processed on the last working day of each calendar month. Salary credits hit employee accounts by the 1st of the following month. Payslips are generated and available in the HRMS portal (Darwinbox) by the 5th of each month.</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4.3 Salary Revisions</w:t>
      </w:r>
    </w:p>
    <w:p>
      <w:pPr>
        <w:spacing w:before="60" w:after="60"/>
        <w:jc w:val="both"/>
      </w:pPr>
      <w:r>
        <w:rPr>
          <w:rFonts w:ascii="Arial" w:cs="Arial" w:eastAsia="Arial" w:hAnsi="Arial"/>
          <w:sz w:val="22"/>
          <w:szCs w:val="22"/>
        </w:rPr>
        <w:t xml:space="preserve">Annual salary reviews are conducted in April each year, aligned with the financial year close. Performance ratings from the prior cycle directly influence revision percentages. Average increments historically range from 8–15% for Meets Expectations and above ratings.</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5. Code of Conduct</w:t>
      </w:r>
    </w:p>
    <w:p>
      <w:pPr>
        <w:pStyle w:val="Heading2"/>
        <w:spacing w:before="240" w:after="120"/>
      </w:pPr>
      <w:r>
        <w:rPr>
          <w:rFonts w:ascii="Arial" w:cs="Arial" w:eastAsia="Arial" w:hAnsi="Arial"/>
          <w:b/>
          <w:bCs/>
          <w:color w:val="2E75B6"/>
          <w:sz w:val="26"/>
          <w:szCs w:val="26"/>
        </w:rPr>
        <w:t xml:space="preserve">5.1 General Standards</w:t>
      </w:r>
    </w:p>
    <w:p>
      <w:pPr>
        <w:spacing w:before="60" w:after="60"/>
        <w:jc w:val="both"/>
      </w:pPr>
      <w:r>
        <w:rPr>
          <w:rFonts w:ascii="Arial" w:cs="Arial" w:eastAsia="Arial" w:hAnsi="Arial"/>
          <w:sz w:val="22"/>
          <w:szCs w:val="22"/>
        </w:rPr>
        <w:t xml:space="preserve">All Nexora employees are expected to maintain the highest standards of professional conduct. This includes but is not limited to:</w:t>
      </w:r>
    </w:p>
    <w:p>
      <w:pPr>
        <w:pStyle w:val="ListParagraph"/>
        <w:numPr>
          <w:ilvl w:val="0"/>
          <w:numId w:val="2"/>
        </w:numPr>
        <w:spacing w:before="40" w:after="40"/>
      </w:pPr>
      <w:r>
        <w:rPr>
          <w:rFonts w:ascii="Arial" w:cs="Arial" w:eastAsia="Arial" w:hAnsi="Arial"/>
          <w:sz w:val="22"/>
          <w:szCs w:val="22"/>
        </w:rPr>
        <w:t xml:space="preserve">Treating all colleagues, clients, and vendors with dignity and respect regardless of role, gender, caste, religion, or background.</w:t>
      </w:r>
    </w:p>
    <w:p>
      <w:pPr>
        <w:pStyle w:val="ListParagraph"/>
        <w:numPr>
          <w:ilvl w:val="0"/>
          <w:numId w:val="2"/>
        </w:numPr>
        <w:spacing w:before="40" w:after="40"/>
      </w:pPr>
      <w:r>
        <w:rPr>
          <w:rFonts w:ascii="Arial" w:cs="Arial" w:eastAsia="Arial" w:hAnsi="Arial"/>
          <w:sz w:val="22"/>
          <w:szCs w:val="22"/>
        </w:rPr>
        <w:t xml:space="preserve">Maintaining confidentiality of all proprietary company information, client data, and internal communications.</w:t>
      </w:r>
    </w:p>
    <w:p>
      <w:pPr>
        <w:pStyle w:val="ListParagraph"/>
        <w:numPr>
          <w:ilvl w:val="0"/>
          <w:numId w:val="2"/>
        </w:numPr>
        <w:spacing w:before="40" w:after="40"/>
      </w:pPr>
      <w:r>
        <w:rPr>
          <w:rFonts w:ascii="Arial" w:cs="Arial" w:eastAsia="Arial" w:hAnsi="Arial"/>
          <w:sz w:val="22"/>
          <w:szCs w:val="22"/>
        </w:rPr>
        <w:t xml:space="preserve">Avoiding conflicts of interest — employees must disclose to HR any external employment, investments, or relationships that may conflict with Nexora's interests.</w:t>
      </w:r>
    </w:p>
    <w:p>
      <w:pPr>
        <w:pStyle w:val="ListParagraph"/>
        <w:numPr>
          <w:ilvl w:val="0"/>
          <w:numId w:val="2"/>
        </w:numPr>
        <w:spacing w:before="40" w:after="40"/>
      </w:pPr>
      <w:r>
        <w:rPr>
          <w:rFonts w:ascii="Arial" w:cs="Arial" w:eastAsia="Arial" w:hAnsi="Arial"/>
          <w:sz w:val="22"/>
          <w:szCs w:val="22"/>
        </w:rPr>
        <w:t xml:space="preserve">Not engaging in any form of discrimination, harassment, bullying, or intimidation in any work setting including remote channels.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5.2 Prevention of Sexual Harassment (POSH)</w:t>
      </w:r>
    </w:p>
    <w:p>
      <w:pPr>
        <w:spacing w:before="60" w:after="60"/>
        <w:jc w:val="both"/>
      </w:pPr>
      <w:r>
        <w:rPr>
          <w:rFonts w:ascii="Arial" w:cs="Arial" w:eastAsia="Arial" w:hAnsi="Arial"/>
          <w:sz w:val="22"/>
          <w:szCs w:val="22"/>
        </w:rPr>
        <w:t xml:space="preserve">Nexora has a zero-tolerance policy for sexual harassment in the workplace. The company has constituted an Internal Complaints Committee (ICC) as mandated by the Sexual Harassment of Women at Workplace Act, 2013.</w:t>
      </w:r>
    </w:p>
    <w:p>
      <w:pPr>
        <w:spacing w:before="60" w:after="60"/>
        <w:jc w:val="both"/>
      </w:pPr>
      <w:r>
        <w:rPr>
          <w:rFonts w:ascii="Arial" w:cs="Arial" w:eastAsia="Arial" w:hAnsi="Arial"/>
          <w:sz w:val="22"/>
          <w:szCs w:val="22"/>
        </w:rPr>
        <w:t xml:space="preserve">Employees may report complaints to: posh@nexoratech.in or directly to any ICC member. All complaints are treated with strict confidentiality. Retaliation against complainants is strictly prohibited and will result in immediate disciplinary action.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5.3 Disciplinary Process</w:t>
      </w:r>
    </w:p>
    <w:p>
      <w:pPr>
        <w:spacing w:before="60" w:after="60"/>
        <w:jc w:val="both"/>
      </w:pPr>
      <w:r>
        <w:rPr>
          <w:rFonts w:ascii="Arial" w:cs="Arial" w:eastAsia="Arial" w:hAnsi="Arial"/>
          <w:sz w:val="22"/>
          <w:szCs w:val="22"/>
        </w:rPr>
        <w:t xml:space="preserve">Violations of the Code of Conduct are handled through the following process:</w:t>
      </w:r>
    </w:p>
    <w:p>
      <w:pPr>
        <w:pStyle w:val="ListParagraph"/>
        <w:numPr>
          <w:ilvl w:val="0"/>
          <w:numId w:val="3"/>
        </w:numPr>
        <w:spacing w:before="40" w:after="40"/>
      </w:pPr>
      <w:r>
        <w:rPr>
          <w:rFonts w:ascii="Arial" w:cs="Arial" w:eastAsia="Arial" w:hAnsi="Arial"/>
          <w:sz w:val="22"/>
          <w:szCs w:val="22"/>
        </w:rPr>
        <w:t xml:space="preserve">Verbal Warning — documented in the employee's HR file.</w:t>
      </w:r>
    </w:p>
    <w:p>
      <w:pPr>
        <w:pStyle w:val="ListParagraph"/>
        <w:numPr>
          <w:ilvl w:val="0"/>
          <w:numId w:val="3"/>
        </w:numPr>
        <w:spacing w:before="40" w:after="40"/>
      </w:pPr>
      <w:r>
        <w:rPr>
          <w:rFonts w:ascii="Arial" w:cs="Arial" w:eastAsia="Arial" w:hAnsi="Arial"/>
          <w:sz w:val="22"/>
          <w:szCs w:val="22"/>
        </w:rPr>
        <w:t xml:space="preserve">Written Warning — issued formally, with a 30-day Performance Improvement Plan (PIP) if applicable.</w:t>
      </w:r>
    </w:p>
    <w:p>
      <w:pPr>
        <w:pStyle w:val="ListParagraph"/>
        <w:numPr>
          <w:ilvl w:val="0"/>
          <w:numId w:val="3"/>
        </w:numPr>
        <w:spacing w:before="40" w:after="40"/>
      </w:pPr>
      <w:r>
        <w:rPr>
          <w:rFonts w:ascii="Arial" w:cs="Arial" w:eastAsia="Arial" w:hAnsi="Arial"/>
          <w:sz w:val="22"/>
          <w:szCs w:val="22"/>
        </w:rPr>
        <w:t xml:space="preserve">Final Warning or Suspension — for repeated or severe violations.</w:t>
      </w:r>
    </w:p>
    <w:p>
      <w:pPr>
        <w:pStyle w:val="ListParagraph"/>
        <w:numPr>
          <w:ilvl w:val="0"/>
          <w:numId w:val="3"/>
        </w:numPr>
        <w:spacing w:before="40" w:after="40"/>
      </w:pPr>
      <w:r>
        <w:rPr>
          <w:rFonts w:ascii="Arial" w:cs="Arial" w:eastAsia="Arial" w:hAnsi="Arial"/>
          <w:sz w:val="22"/>
          <w:szCs w:val="22"/>
        </w:rPr>
        <w:t xml:space="preserve">Termination — for gross misconduct, fraud, data theft, or criminal activity.</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6. Benefits</w:t>
      </w:r>
    </w:p>
    <w:p>
      <w:pPr>
        <w:pStyle w:val="Heading2"/>
        <w:spacing w:before="240" w:after="120"/>
      </w:pPr>
      <w:r>
        <w:rPr>
          <w:rFonts w:ascii="Arial" w:cs="Arial" w:eastAsia="Arial" w:hAnsi="Arial"/>
          <w:b/>
          <w:bCs/>
          <w:color w:val="2E75B6"/>
          <w:sz w:val="26"/>
          <w:szCs w:val="26"/>
        </w:rPr>
        <w:t xml:space="preserve">6.1 Health Insurance</w:t>
      </w:r>
    </w:p>
    <w:p>
      <w:pPr>
        <w:spacing w:before="60" w:after="60"/>
        <w:jc w:val="both"/>
      </w:pPr>
      <w:r>
        <w:rPr>
          <w:rFonts w:ascii="Arial" w:cs="Arial" w:eastAsia="Arial" w:hAnsi="Arial"/>
          <w:sz w:val="22"/>
          <w:szCs w:val="22"/>
        </w:rPr>
        <w:t xml:space="preserve">Nexora provides a group health insurance policy covering the employee, spouse, and up to 2 dependent children with a sum insured of INR 5,00,000 per family per year. The policy is administered through Star Health Insurance. Top-up coverage up to INR 15,00,000 is available at subsidized group rates.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6.2 Provident Fund</w:t>
      </w:r>
    </w:p>
    <w:p>
      <w:pPr>
        <w:spacing w:before="60" w:after="60"/>
        <w:jc w:val="both"/>
      </w:pPr>
      <w:r>
        <w:rPr>
          <w:rFonts w:ascii="Arial" w:cs="Arial" w:eastAsia="Arial" w:hAnsi="Arial"/>
          <w:sz w:val="22"/>
          <w:szCs w:val="22"/>
        </w:rPr>
        <w:t xml:space="preserve">Nexora contributes 12% of Basic Salary to the Employee Provident Fund (EPF) as per the Employees Provident Funds and Miscellaneous Provisions Act, 1952. Employees contribute an equal 12% of Basic. EPF passbooks are accessible via the EPFO member portal using the UAN number issued at onboarding.</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6.3 Learning &amp; Development Budget</w:t>
      </w:r>
    </w:p>
    <w:p>
      <w:pPr>
        <w:spacing w:before="60" w:after="60"/>
        <w:jc w:val="both"/>
      </w:pPr>
      <w:r>
        <w:rPr>
          <w:rFonts w:ascii="Arial" w:cs="Arial" w:eastAsia="Arial" w:hAnsi="Arial"/>
          <w:sz w:val="22"/>
          <w:szCs w:val="22"/>
        </w:rPr>
        <w:t xml:space="preserve">Each employee receives an annual L&amp;D budget of INR 20,000 for approved courses, certifications, books, and conferences. Requests must be submitted via the L&amp;D portal at least 2 weeks in advance. Certifications costing above INR 10,000 require a 12-month service commitment post completion.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6.4 Equipment</w:t>
      </w:r>
    </w:p>
    <w:p>
      <w:pPr>
        <w:spacing w:before="60" w:after="60"/>
        <w:jc w:val="both"/>
      </w:pPr>
      <w:r>
        <w:rPr>
          <w:rFonts w:ascii="Arial" w:cs="Arial" w:eastAsia="Arial" w:hAnsi="Arial"/>
          <w:sz w:val="22"/>
          <w:szCs w:val="22"/>
        </w:rPr>
        <w:t xml:space="preserve">Engineering and Product employees receive a company-issued laptop (MacBook Air M2 or Dell XPS 15 as per role). The equipment remains Nexora's property and must be returned in good condition upon separation. Loss or damage due to negligence may be deducted from the final settlement.</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7. Separation Policy</w:t>
      </w:r>
    </w:p>
    <w:p>
      <w:pPr>
        <w:pStyle w:val="Heading2"/>
        <w:spacing w:before="240" w:after="120"/>
      </w:pPr>
      <w:r>
        <w:rPr>
          <w:rFonts w:ascii="Arial" w:cs="Arial" w:eastAsia="Arial" w:hAnsi="Arial"/>
          <w:b/>
          <w:bCs/>
          <w:color w:val="2E75B6"/>
          <w:sz w:val="26"/>
          <w:szCs w:val="26"/>
        </w:rPr>
        <w:t xml:space="preserve">7.1 Notice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During Probation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calendar days (either side)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0–1 Year (Confirmed)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calendar days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1–3 Years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calendar days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3+ Years / Senior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calendar days</w:t>
            </w:r>
          </w:p>
        </w:tc>
      </w:tr>
    </w:tbl>
    <w:p>
      <w:pPr>
        <w:spacing w:before="60" w:after="60"/>
        <w:jc w:val="both"/>
      </w:pPr>
      <w:r>
        <w:rPr>
          <w:rFonts w:ascii="Arial" w:cs="Arial" w:eastAsia="Arial" w:hAnsi="Arial"/>
          <w:sz w:val="22"/>
          <w:szCs w:val="22"/>
        </w:rPr>
        <w:t xml:space="preserve">Notice period buyout is available at Basic Salary / 30 x remaining days, subject to manager and HR approval.</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7.2 Full &amp; Final Settlement</w:t>
      </w:r>
    </w:p>
    <w:p>
      <w:pPr>
        <w:spacing w:before="60" w:after="60"/>
        <w:jc w:val="both"/>
      </w:pPr>
      <w:r>
        <w:rPr>
          <w:rFonts w:ascii="Arial" w:cs="Arial" w:eastAsia="Arial" w:hAnsi="Arial"/>
          <w:sz w:val="22"/>
          <w:szCs w:val="22"/>
        </w:rPr>
        <w:t xml:space="preserve">Full and Final (F&amp;F) settlement is processed within 45 working days from the last working day. This includes unpaid salary, leave encashment (EL only), gratuity (if eligible — 5 years), and any pending reimbursements. All company assets must be returned before F&amp;F is initiated.</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8. Grievance Redressal</w:t>
      </w:r>
    </w:p>
    <w:p>
      <w:pPr>
        <w:spacing w:before="60" w:after="60"/>
        <w:jc w:val="both"/>
      </w:pPr>
      <w:r>
        <w:rPr>
          <w:rFonts w:ascii="Arial" w:cs="Arial" w:eastAsia="Arial" w:hAnsi="Arial"/>
          <w:sz w:val="22"/>
          <w:szCs w:val="22"/>
        </w:rPr>
        <w:t xml:space="preserve">Employees with HR-related grievances may raise them through the following channels in order:</w:t>
      </w:r>
    </w:p>
    <w:p>
      <w:pPr>
        <w:pStyle w:val="ListParagraph"/>
        <w:numPr>
          <w:ilvl w:val="0"/>
          <w:numId w:val="3"/>
        </w:numPr>
        <w:spacing w:before="40" w:after="40"/>
      </w:pPr>
      <w:r>
        <w:rPr>
          <w:rFonts w:ascii="Arial" w:cs="Arial" w:eastAsia="Arial" w:hAnsi="Arial"/>
          <w:sz w:val="22"/>
          <w:szCs w:val="22"/>
        </w:rPr>
        <w:t xml:space="preserve">Direct discussion with immediate manager.</w:t>
      </w:r>
    </w:p>
    <w:p>
      <w:pPr>
        <w:pStyle w:val="ListParagraph"/>
        <w:numPr>
          <w:ilvl w:val="0"/>
          <w:numId w:val="3"/>
        </w:numPr>
        <w:spacing w:before="40" w:after="40"/>
      </w:pPr>
      <w:r>
        <w:rPr>
          <w:rFonts w:ascii="Arial" w:cs="Arial" w:eastAsia="Arial" w:hAnsi="Arial"/>
          <w:sz w:val="22"/>
          <w:szCs w:val="22"/>
        </w:rPr>
        <w:t xml:space="preserve">HR Business Partner assigned to the department.</w:t>
      </w:r>
    </w:p>
    <w:p>
      <w:pPr>
        <w:pStyle w:val="ListParagraph"/>
        <w:numPr>
          <w:ilvl w:val="0"/>
          <w:numId w:val="3"/>
        </w:numPr>
        <w:spacing w:before="40" w:after="40"/>
      </w:pPr>
      <w:r>
        <w:rPr>
          <w:rFonts w:ascii="Arial" w:cs="Arial" w:eastAsia="Arial" w:hAnsi="Arial"/>
          <w:sz w:val="22"/>
          <w:szCs w:val="22"/>
        </w:rPr>
        <w:t xml:space="preserve">HR Head — Sneha Krishnaswamy (sneha.k@nexoratech.in).</w:t>
      </w:r>
    </w:p>
    <w:p>
      <w:pPr>
        <w:pStyle w:val="ListParagraph"/>
        <w:numPr>
          <w:ilvl w:val="0"/>
          <w:numId w:val="3"/>
        </w:numPr>
        <w:spacing w:before="40" w:after="40"/>
      </w:pPr>
      <w:r>
        <w:rPr>
          <w:rFonts w:ascii="Arial" w:cs="Arial" w:eastAsia="Arial" w:hAnsi="Arial"/>
          <w:sz w:val="22"/>
          <w:szCs w:val="22"/>
        </w:rPr>
        <w:t xml:space="preserve">CEO escalation for unresolved critical issues.</w:t>
      </w:r>
    </w:p>
    <w:p>
      <w:pPr>
        <w:spacing w:before="60" w:after="60"/>
        <w:jc w:val="both"/>
      </w:pPr>
      <w:r>
        <w:rPr>
          <w:rFonts w:ascii="Arial" w:cs="Arial" w:eastAsia="Arial" w:hAnsi="Arial"/>
          <w:sz w:val="22"/>
          <w:szCs w:val="22"/>
        </w:rPr>
        <w:t xml:space="preserve">All grievances will receive an initial response within 5 working days and resolution within 30 working days.</w:t>
      </w:r>
    </w:p>
    <w:p>
      <w:pPr>
        <w:spacing w:before="80" w:after="80"/>
      </w:pPr>
      <w:r>
        <w:t xml:space="preserve"/>
      </w:r>
    </w:p>
    <w:p>
      <w:pPr>
        <w:spacing w:before="60" w:after="60"/>
        <w:jc w:val="both"/>
      </w:pPr>
      <w:r>
        <w:rPr>
          <w:rFonts w:ascii="Arial" w:cs="Arial" w:eastAsia="Arial" w:hAnsi="Arial"/>
          <w:i/>
          <w:iCs/>
          <w:color w:val="888888"/>
          <w:sz w:val="22"/>
          <w:szCs w:val="22"/>
        </w:rPr>
        <w:t xml:space="preserve">Document Owner: HR Department | Last Reviewed: December 15, 2024 | Next Review: December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Internal Use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Nexora Technologies — HR Policy Handbook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2026-03-29T13:47:25.649Z</dcterms:created>
  <dcterms:modified xsi:type="dcterms:W3CDTF">2026-03-29T13:47:25.650Z</dcterms:modified>
</cp:coreProperties>
</file>

<file path=docProps/custom.xml><?xml version="1.0" encoding="utf-8"?>
<Properties xmlns="http://schemas.openxmlformats.org/officeDocument/2006/custom-properties" xmlns:vt="http://schemas.openxmlformats.org/officeDocument/2006/docPropsVTypes"/>
</file>