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F4E79"/>
          <w:sz w:val="28"/>
          <w:szCs w:val="28"/>
        </w:rPr>
        <w:t xml:space="preserve">NEXORA TECHNOLOGIES PVT. LTD.</w:t>
      </w:r>
    </w:p>
    <w:p>
      <w:pPr>
        <w:spacing w:before="80" w:after="80"/>
      </w:pPr>
      <w:r>
        <w:t xml:space="preserve"/>
      </w:r>
    </w:p>
    <w:p>
      <w:pPr>
        <w:jc w:val="center"/>
      </w:pPr>
      <w:r>
        <w:rPr>
          <w:rFonts w:ascii="Arial" w:cs="Arial" w:eastAsia="Arial" w:hAnsi="Arial"/>
          <w:b/>
          <w:bCs/>
          <w:color w:val="1F4E79"/>
          <w:sz w:val="48"/>
          <w:szCs w:val="48"/>
        </w:rPr>
        <w:t xml:space="preserve">IT SECURITY POLICY</w:t>
      </w:r>
    </w:p>
    <w:p>
      <w:pPr>
        <w:jc w:val="center"/>
      </w:pPr>
      <w:r>
        <w:rPr>
          <w:rFonts w:ascii="Arial" w:cs="Arial" w:eastAsia="Arial" w:hAnsi="Arial"/>
          <w:color w:val="555555"/>
          <w:sz w:val="26"/>
          <w:szCs w:val="26"/>
        </w:rPr>
        <w:t xml:space="preserve">Information Security Standards — All Staff</w:t>
      </w:r>
    </w:p>
    <w:p>
      <w:pPr>
        <w:spacing w:before="720"/>
      </w:pPr>
      <w:r>
        <w:t xml:space="preserve"/>
      </w:r>
    </w:p>
    <w:p>
      <w:pPr>
        <w:jc w:val="center"/>
      </w:pPr>
      <w:r>
        <w:rPr>
          <w:rFonts w:ascii="Arial" w:cs="Arial" w:eastAsia="Arial" w:hAnsi="Arial"/>
          <w:color w:val="777777"/>
          <w:sz w:val="22"/>
          <w:szCs w:val="22"/>
        </w:rPr>
        <w:t xml:space="preserve">Version 2.0  |  Effective: March 1, 2025</w:t>
      </w:r>
    </w:p>
    <w:p>
      <w:pPr>
        <w:pageBreakBefore/>
      </w:pPr>
      <w:r>
        <w:b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1. Purpose &amp; Scope</w:t>
      </w:r>
    </w:p>
    <w:p>
      <w:pPr>
        <w:spacing w:before="60" w:after="60"/>
        <w:jc w:val="both"/>
      </w:pPr>
      <w:r>
        <w:rPr>
          <w:rFonts w:ascii="Arial" w:cs="Arial" w:eastAsia="Arial" w:hAnsi="Arial"/>
          <w:sz w:val="22"/>
          <w:szCs w:val="22"/>
        </w:rPr>
        <w:t xml:space="preserve">This policy defines the information security standards that all Nexora Technologies employees, contractors, and interns must follow to protect company data, customer data, and the integrity of Nexora's systems. Violations of this policy may result in disciplinary action up to and including termination and legal proceedings.</w:t>
      </w:r>
    </w:p>
    <w:p>
      <w:pPr>
        <w:spacing w:before="60" w:after="60"/>
        <w:jc w:val="both"/>
      </w:pPr>
      <w:r>
        <w:rPr>
          <w:rFonts w:ascii="Arial" w:cs="Arial" w:eastAsia="Arial" w:hAnsi="Arial"/>
          <w:sz w:val="22"/>
          <w:szCs w:val="22"/>
        </w:rPr>
        <w:t xml:space="preserve">This policy applies to all individuals who access Nexora systems, data, or networks, whether on company premises, remotely, or via personal devices used for work.</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2. Device Security</w:t>
      </w:r>
    </w:p>
    <w:p>
      <w:pPr>
        <w:pStyle w:val="Heading2"/>
        <w:spacing w:before="240" w:after="120"/>
      </w:pPr>
      <w:r>
        <w:rPr>
          <w:rFonts w:ascii="Arial" w:cs="Arial" w:eastAsia="Arial" w:hAnsi="Arial"/>
          <w:b/>
          <w:bCs/>
          <w:color w:val="2E75B6"/>
          <w:sz w:val="26"/>
          <w:szCs w:val="26"/>
        </w:rPr>
        <w:t xml:space="preserve">2.1 Company Devices</w:t>
      </w:r>
    </w:p>
    <w:p>
      <w:pPr>
        <w:pStyle w:val="ListParagraph"/>
        <w:numPr>
          <w:ilvl w:val="0"/>
          <w:numId w:val="2"/>
        </w:numPr>
        <w:spacing w:before="40" w:after="40"/>
      </w:pPr>
      <w:r>
        <w:rPr>
          <w:rFonts w:ascii="Arial" w:cs="Arial" w:eastAsia="Arial" w:hAnsi="Arial"/>
          <w:sz w:val="22"/>
          <w:szCs w:val="22"/>
        </w:rPr>
        <w:t xml:space="preserve">All company laptops must have full-disk encryption enabled (FileVault on macOS, BitLocker on Windows). IT configures this at setup — do not disable it.</w:t>
      </w:r>
    </w:p>
    <w:p>
      <w:pPr>
        <w:pStyle w:val="ListParagraph"/>
        <w:numPr>
          <w:ilvl w:val="0"/>
          <w:numId w:val="2"/>
        </w:numPr>
        <w:spacing w:before="40" w:after="40"/>
      </w:pPr>
      <w:r>
        <w:rPr>
          <w:rFonts w:ascii="Arial" w:cs="Arial" w:eastAsia="Arial" w:hAnsi="Arial"/>
          <w:sz w:val="22"/>
          <w:szCs w:val="22"/>
        </w:rPr>
        <w:t xml:space="preserve">Automatic screen lock must be set to 5 minutes of inactivity maximum.</w:t>
      </w:r>
    </w:p>
    <w:p>
      <w:pPr>
        <w:pStyle w:val="ListParagraph"/>
        <w:numPr>
          <w:ilvl w:val="0"/>
          <w:numId w:val="2"/>
        </w:numPr>
        <w:spacing w:before="40" w:after="40"/>
      </w:pPr>
      <w:r>
        <w:rPr>
          <w:rFonts w:ascii="Arial" w:cs="Arial" w:eastAsia="Arial" w:hAnsi="Arial"/>
          <w:sz w:val="22"/>
          <w:szCs w:val="22"/>
        </w:rPr>
        <w:t xml:space="preserve">Operating systems and applications must be updated within 7 days of a security patch release. IT pushes critical patches via MDM (Jamf for Macs, Intune for Windows).</w:t>
      </w:r>
    </w:p>
    <w:p>
      <w:pPr>
        <w:pStyle w:val="ListParagraph"/>
        <w:numPr>
          <w:ilvl w:val="0"/>
          <w:numId w:val="2"/>
        </w:numPr>
        <w:spacing w:before="40" w:after="40"/>
      </w:pPr>
      <w:r>
        <w:rPr>
          <w:rFonts w:ascii="Arial" w:cs="Arial" w:eastAsia="Arial" w:hAnsi="Arial"/>
          <w:sz w:val="22"/>
          <w:szCs w:val="22"/>
        </w:rPr>
        <w:t xml:space="preserve">Company devices must have CrowdStrike Falcon (EDR) installed and active at all times. Do not disable or uninstall this software.</w:t>
      </w:r>
    </w:p>
    <w:p>
      <w:pPr>
        <w:pStyle w:val="ListParagraph"/>
        <w:numPr>
          <w:ilvl w:val="0"/>
          <w:numId w:val="2"/>
        </w:numPr>
        <w:spacing w:before="40" w:after="40"/>
      </w:pPr>
      <w:r>
        <w:rPr>
          <w:rFonts w:ascii="Arial" w:cs="Arial" w:eastAsia="Arial" w:hAnsi="Arial"/>
          <w:sz w:val="22"/>
          <w:szCs w:val="22"/>
        </w:rPr>
        <w:t xml:space="preserve">Connecting to public Wi-Fi requires the use of Nexora's VPN (Cloudflare WARP). VPN credentials are provided by IT at onboarding.</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2.2 Personal Devices (BYOD)</w:t>
      </w:r>
    </w:p>
    <w:p>
      <w:pPr>
        <w:spacing w:before="60" w:after="60"/>
        <w:jc w:val="both"/>
      </w:pPr>
      <w:r>
        <w:rPr>
          <w:rFonts w:ascii="Arial" w:cs="Arial" w:eastAsia="Arial" w:hAnsi="Arial"/>
          <w:sz w:val="22"/>
          <w:szCs w:val="22"/>
        </w:rPr>
        <w:t xml:space="preserve">Personal devices may only be used for work purposes if enrolled in Nexora's Mobile Device Management (MDM) program. To enroll, contact IT. Enrolled personal devices must comply with the same screen lock and encryption requirements as company devices.</w:t>
      </w:r>
    </w:p>
    <w:p>
      <w:pPr>
        <w:spacing w:before="60" w:after="60"/>
        <w:jc w:val="both"/>
      </w:pPr>
      <w:r>
        <w:rPr>
          <w:rFonts w:ascii="Arial" w:cs="Arial" w:eastAsia="Arial" w:hAnsi="Arial"/>
          <w:sz w:val="22"/>
          <w:szCs w:val="22"/>
        </w:rPr>
        <w:t xml:space="preserve">Accessing customer data (including NexBase document content, NexFlow workflow configurations, and Freshdesk tickets) from non-enrolled personal devices is strictly prohibited.</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3. Password &amp; Authentication Policy</w:t>
      </w:r>
    </w:p>
    <w:p>
      <w:pPr>
        <w:pStyle w:val="Heading2"/>
        <w:spacing w:before="240" w:after="120"/>
      </w:pPr>
      <w:r>
        <w:rPr>
          <w:rFonts w:ascii="Arial" w:cs="Arial" w:eastAsia="Arial" w:hAnsi="Arial"/>
          <w:b/>
          <w:bCs/>
          <w:color w:val="2E75B6"/>
          <w:sz w:val="26"/>
          <w:szCs w:val="26"/>
        </w:rPr>
        <w:t xml:space="preserve">3.1 Password Requirements</w:t>
      </w:r>
    </w:p>
    <w:p>
      <w:pPr>
        <w:spacing w:before="60" w:after="60"/>
        <w:jc w:val="both"/>
      </w:pPr>
      <w:r>
        <w:rPr>
          <w:rFonts w:ascii="Arial" w:cs="Arial" w:eastAsia="Arial" w:hAnsi="Arial"/>
          <w:sz w:val="22"/>
          <w:szCs w:val="22"/>
        </w:rPr>
        <w:t xml:space="preserve">All passwords for Nexora systems must meet the following requirements:</w:t>
      </w:r>
    </w:p>
    <w:p>
      <w:pPr>
        <w:pStyle w:val="ListParagraph"/>
        <w:numPr>
          <w:ilvl w:val="0"/>
          <w:numId w:val="2"/>
        </w:numPr>
        <w:spacing w:before="40" w:after="40"/>
      </w:pPr>
      <w:r>
        <w:rPr>
          <w:rFonts w:ascii="Arial" w:cs="Arial" w:eastAsia="Arial" w:hAnsi="Arial"/>
          <w:sz w:val="22"/>
          <w:szCs w:val="22"/>
        </w:rPr>
        <w:t xml:space="preserve">Minimum 14 characters.</w:t>
      </w:r>
    </w:p>
    <w:p>
      <w:pPr>
        <w:pStyle w:val="ListParagraph"/>
        <w:numPr>
          <w:ilvl w:val="0"/>
          <w:numId w:val="2"/>
        </w:numPr>
        <w:spacing w:before="40" w:after="40"/>
      </w:pPr>
      <w:r>
        <w:rPr>
          <w:rFonts w:ascii="Arial" w:cs="Arial" w:eastAsia="Arial" w:hAnsi="Arial"/>
          <w:sz w:val="22"/>
          <w:szCs w:val="22"/>
        </w:rPr>
        <w:t xml:space="preserve">Must include: at least 1 uppercase, 1 lowercase, 1 number, and 1 special character (!@#$%^&amp;*).</w:t>
      </w:r>
    </w:p>
    <w:p>
      <w:pPr>
        <w:pStyle w:val="ListParagraph"/>
        <w:numPr>
          <w:ilvl w:val="0"/>
          <w:numId w:val="2"/>
        </w:numPr>
        <w:spacing w:before="40" w:after="40"/>
      </w:pPr>
      <w:r>
        <w:rPr>
          <w:rFonts w:ascii="Arial" w:cs="Arial" w:eastAsia="Arial" w:hAnsi="Arial"/>
          <w:sz w:val="22"/>
          <w:szCs w:val="22"/>
        </w:rPr>
        <w:t xml:space="preserve">Must not contain the employee's name, email prefix, or common dictionary words.</w:t>
      </w:r>
    </w:p>
    <w:p>
      <w:pPr>
        <w:pStyle w:val="ListParagraph"/>
        <w:numPr>
          <w:ilvl w:val="0"/>
          <w:numId w:val="2"/>
        </w:numPr>
        <w:spacing w:before="40" w:after="40"/>
      </w:pPr>
      <w:r>
        <w:rPr>
          <w:rFonts w:ascii="Arial" w:cs="Arial" w:eastAsia="Arial" w:hAnsi="Arial"/>
          <w:sz w:val="22"/>
          <w:szCs w:val="22"/>
        </w:rPr>
        <w:t xml:space="preserve">Must not be reused from the previous 12 passwords.</w:t>
      </w:r>
    </w:p>
    <w:p>
      <w:pPr>
        <w:pStyle w:val="ListParagraph"/>
        <w:numPr>
          <w:ilvl w:val="0"/>
          <w:numId w:val="2"/>
        </w:numPr>
        <w:spacing w:before="40" w:after="40"/>
      </w:pPr>
      <w:r>
        <w:rPr>
          <w:rFonts w:ascii="Arial" w:cs="Arial" w:eastAsia="Arial" w:hAnsi="Arial"/>
          <w:sz w:val="22"/>
          <w:szCs w:val="22"/>
        </w:rPr>
        <w:t xml:space="preserve">Must be changed every 180 days for standard accounts and every 90 days for accounts with admin access.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3.2 Multi-Factor Authentication (MFA)</w:t>
      </w:r>
    </w:p>
    <w:p>
      <w:pPr>
        <w:spacing w:before="60" w:after="60"/>
        <w:jc w:val="both"/>
      </w:pPr>
      <w:r>
        <w:rPr>
          <w:rFonts w:ascii="Arial" w:cs="Arial" w:eastAsia="Arial" w:hAnsi="Arial"/>
          <w:sz w:val="22"/>
          <w:szCs w:val="22"/>
        </w:rPr>
        <w:t xml:space="preserve">MFA is mandatory for all Nexora accounts including Google Workspace, GitHub, Jira, Darwinbox, AWS Console, and the Nexora Admin Portal. Authenticator app (Google Authenticator or Authy) is the preferred MFA method. SMS-based OTP is permitted as a fallback only.</w:t>
      </w:r>
    </w:p>
    <w:p>
      <w:pPr>
        <w:spacing w:before="60" w:after="60"/>
        <w:jc w:val="both"/>
      </w:pPr>
      <w:r>
        <w:rPr>
          <w:rFonts w:ascii="Arial" w:cs="Arial" w:eastAsia="Arial" w:hAnsi="Arial"/>
          <w:sz w:val="22"/>
          <w:szCs w:val="22"/>
        </w:rPr>
        <w:t xml:space="preserve">Any employee found to have disabled MFA on a Nexora account will be subject to immediate account suspension and a formal security review.</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3.3 Password Manager</w:t>
      </w:r>
    </w:p>
    <w:p>
      <w:pPr>
        <w:spacing w:before="60" w:after="60"/>
        <w:jc w:val="both"/>
      </w:pPr>
      <w:r>
        <w:rPr>
          <w:rFonts w:ascii="Arial" w:cs="Arial" w:eastAsia="Arial" w:hAnsi="Arial"/>
          <w:sz w:val="22"/>
          <w:szCs w:val="22"/>
        </w:rPr>
        <w:t xml:space="preserve">All employees are provided a 1Password Teams license. Storing work credentials in browser-native password managers (Chrome, Safari) is discouraged. Storing credentials in plaintext documents, spreadsheets, Slack messages, or Notion pages is strictly prohibited.</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4. Data Classification &amp; Handling</w:t>
      </w:r>
    </w:p>
    <w:p>
      <w:pPr>
        <w:pStyle w:val="Heading2"/>
        <w:spacing w:before="240" w:after="120"/>
      </w:pPr>
      <w:r>
        <w:rPr>
          <w:rFonts w:ascii="Arial" w:cs="Arial" w:eastAsia="Arial" w:hAnsi="Arial"/>
          <w:b/>
          <w:bCs/>
          <w:color w:val="2E75B6"/>
          <w:sz w:val="26"/>
          <w:szCs w:val="26"/>
        </w:rPr>
        <w:t xml:space="preserve">4.1 Data Classification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Public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materials, public documentation, press releases. No restrictions on sharing.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Internal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communications, meeting notes, roadmap docs. Share only with Nexora employees.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Confidential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data, contracts, financial reports, HR records. Share only on a need-to-know basis. Encrypt before emailing.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Restricted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credentials, encryption keys, source code with proprietary algorithms, investor data. Access requires explicit approval from department head.</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4.2 Data Storage Rules</w:t>
      </w:r>
    </w:p>
    <w:p>
      <w:pPr>
        <w:pStyle w:val="ListParagraph"/>
        <w:numPr>
          <w:ilvl w:val="0"/>
          <w:numId w:val="2"/>
        </w:numPr>
        <w:spacing w:before="40" w:after="40"/>
      </w:pPr>
      <w:r>
        <w:rPr>
          <w:rFonts w:ascii="Arial" w:cs="Arial" w:eastAsia="Arial" w:hAnsi="Arial"/>
          <w:sz w:val="22"/>
          <w:szCs w:val="22"/>
        </w:rPr>
        <w:t xml:space="preserve">Customer data (Confidential or above) must only be stored in Nexora-approved systems: Google Drive (company account), AWS S3 (production buckets), Supabase (production database). Storing customer data in personal Google Drive, Dropbox, or any non-approved system is prohibited.</w:t>
      </w:r>
    </w:p>
    <w:p>
      <w:pPr>
        <w:pStyle w:val="ListParagraph"/>
        <w:numPr>
          <w:ilvl w:val="0"/>
          <w:numId w:val="2"/>
        </w:numPr>
        <w:spacing w:before="40" w:after="40"/>
      </w:pPr>
      <w:r>
        <w:rPr>
          <w:rFonts w:ascii="Arial" w:cs="Arial" w:eastAsia="Arial" w:hAnsi="Arial"/>
          <w:sz w:val="22"/>
          <w:szCs w:val="22"/>
        </w:rPr>
        <w:t xml:space="preserve">Production database credentials must never be stored in code repositories. Use environment variables or AWS Secrets Manager.</w:t>
      </w:r>
    </w:p>
    <w:p>
      <w:pPr>
        <w:pStyle w:val="ListParagraph"/>
        <w:numPr>
          <w:ilvl w:val="0"/>
          <w:numId w:val="2"/>
        </w:numPr>
        <w:spacing w:before="40" w:after="40"/>
      </w:pPr>
      <w:r>
        <w:rPr>
          <w:rFonts w:ascii="Arial" w:cs="Arial" w:eastAsia="Arial" w:hAnsi="Arial"/>
          <w:sz w:val="22"/>
          <w:szCs w:val="22"/>
        </w:rPr>
        <w:t xml:space="preserve">Logs containing personally identifiable information (PII) must be masked or anonymized before being written to monitoring systems (Datadog, CloudWatch).</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4.3 Data Transfer</w:t>
      </w:r>
    </w:p>
    <w:p>
      <w:pPr>
        <w:pStyle w:val="ListParagraph"/>
        <w:numPr>
          <w:ilvl w:val="0"/>
          <w:numId w:val="2"/>
        </w:numPr>
        <w:spacing w:before="40" w:after="40"/>
      </w:pPr>
      <w:r>
        <w:rPr>
          <w:rFonts w:ascii="Arial" w:cs="Arial" w:eastAsia="Arial" w:hAnsi="Arial"/>
          <w:sz w:val="22"/>
          <w:szCs w:val="22"/>
        </w:rPr>
        <w:t xml:space="preserve">Confidential data shared externally must be encrypted. Use Google Drive shared links with expiry and access restrictions, or password-protected ZIP archives (AES-256).</w:t>
      </w:r>
    </w:p>
    <w:p>
      <w:pPr>
        <w:pStyle w:val="ListParagraph"/>
        <w:numPr>
          <w:ilvl w:val="0"/>
          <w:numId w:val="2"/>
        </w:numPr>
        <w:spacing w:before="40" w:after="40"/>
      </w:pPr>
      <w:r>
        <w:rPr>
          <w:rFonts w:ascii="Arial" w:cs="Arial" w:eastAsia="Arial" w:hAnsi="Arial"/>
          <w:sz w:val="22"/>
          <w:szCs w:val="22"/>
        </w:rPr>
        <w:t xml:space="preserve">Do not email customer PII in plaintext. Use secure sharing links instead.</w:t>
      </w:r>
    </w:p>
    <w:p>
      <w:pPr>
        <w:pStyle w:val="ListParagraph"/>
        <w:numPr>
          <w:ilvl w:val="0"/>
          <w:numId w:val="2"/>
        </w:numPr>
        <w:spacing w:before="40" w:after="40"/>
      </w:pPr>
      <w:r>
        <w:rPr>
          <w:rFonts w:ascii="Arial" w:cs="Arial" w:eastAsia="Arial" w:hAnsi="Arial"/>
          <w:sz w:val="22"/>
          <w:szCs w:val="22"/>
        </w:rPr>
        <w:t xml:space="preserve">USB drives and external storage are prohibited for transferring company data without explicit IT approval.</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5. Access Control</w:t>
      </w:r>
    </w:p>
    <w:p>
      <w:pPr>
        <w:pStyle w:val="Heading2"/>
        <w:spacing w:before="240" w:after="120"/>
      </w:pPr>
      <w:r>
        <w:rPr>
          <w:rFonts w:ascii="Arial" w:cs="Arial" w:eastAsia="Arial" w:hAnsi="Arial"/>
          <w:b/>
          <w:bCs/>
          <w:color w:val="2E75B6"/>
          <w:sz w:val="26"/>
          <w:szCs w:val="26"/>
        </w:rPr>
        <w:t xml:space="preserve">5.1 Principle of Least Privilege</w:t>
      </w:r>
    </w:p>
    <w:p>
      <w:pPr>
        <w:spacing w:before="60" w:after="60"/>
        <w:jc w:val="both"/>
      </w:pPr>
      <w:r>
        <w:rPr>
          <w:rFonts w:ascii="Arial" w:cs="Arial" w:eastAsia="Arial" w:hAnsi="Arial"/>
          <w:sz w:val="22"/>
          <w:szCs w:val="22"/>
        </w:rPr>
        <w:t xml:space="preserve">All system access is granted on a least-privilege basis — employees receive only the permissions required to perform their job function. Requests for elevated access must be submitted via the IT helpdesk with manager approval and are reviewed every 6 months.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5.2 Offboarding</w:t>
      </w:r>
    </w:p>
    <w:p>
      <w:pPr>
        <w:spacing w:before="60" w:after="60"/>
        <w:jc w:val="both"/>
      </w:pPr>
      <w:r>
        <w:rPr>
          <w:rFonts w:ascii="Arial" w:cs="Arial" w:eastAsia="Arial" w:hAnsi="Arial"/>
          <w:sz w:val="22"/>
          <w:szCs w:val="22"/>
        </w:rPr>
        <w:t xml:space="preserve">Upon separation from Nexora (resignation, termination, or end of contract), IT will deactivate all system access within 4 hours of the last working hour as notified by HR. This includes Google Workspace, Slack, GitHub, Jira, production systems, and VPN access. Employees must return all company equipment before F&amp;F settlement is processed.</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5.3 Third-Party Access</w:t>
      </w:r>
    </w:p>
    <w:p>
      <w:pPr>
        <w:spacing w:before="60" w:after="60"/>
        <w:jc w:val="both"/>
      </w:pPr>
      <w:r>
        <w:rPr>
          <w:rFonts w:ascii="Arial" w:cs="Arial" w:eastAsia="Arial" w:hAnsi="Arial"/>
          <w:sz w:val="22"/>
          <w:szCs w:val="22"/>
        </w:rPr>
        <w:t xml:space="preserve">Vendors and contractors requiring access to Nexora systems must sign a Non-Disclosure Agreement (NDA) and Data Processing Agreement (DPA) before access is provisioned. Third-party access is time-limited and reviewed monthly by the IT Security team.</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6. Acceptable Use Policy</w:t>
      </w:r>
    </w:p>
    <w:p>
      <w:pPr>
        <w:pStyle w:val="Heading2"/>
        <w:spacing w:before="240" w:after="120"/>
      </w:pPr>
      <w:r>
        <w:rPr>
          <w:rFonts w:ascii="Arial" w:cs="Arial" w:eastAsia="Arial" w:hAnsi="Arial"/>
          <w:b/>
          <w:bCs/>
          <w:color w:val="2E75B6"/>
          <w:sz w:val="26"/>
          <w:szCs w:val="26"/>
        </w:rPr>
        <w:t xml:space="preserve">6.1 Permitted Use</w:t>
      </w:r>
    </w:p>
    <w:p>
      <w:pPr>
        <w:spacing w:before="60" w:after="60"/>
        <w:jc w:val="both"/>
      </w:pPr>
      <w:r>
        <w:rPr>
          <w:rFonts w:ascii="Arial" w:cs="Arial" w:eastAsia="Arial" w:hAnsi="Arial"/>
          <w:sz w:val="22"/>
          <w:szCs w:val="22"/>
        </w:rPr>
        <w:t xml:space="preserve">Nexora systems and network may be used for work-related activities and reasonable personal use that does not impact productivity, consume excessive bandwidth, or violate any other section of this policy.</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6.2 Prohibited Activities</w:t>
      </w:r>
    </w:p>
    <w:p>
      <w:pPr>
        <w:spacing w:before="60" w:after="60"/>
        <w:jc w:val="both"/>
      </w:pPr>
      <w:r>
        <w:rPr>
          <w:rFonts w:ascii="Arial" w:cs="Arial" w:eastAsia="Arial" w:hAnsi="Arial"/>
          <w:sz w:val="22"/>
          <w:szCs w:val="22"/>
        </w:rPr>
        <w:t xml:space="preserve">The following are strictly prohibited on all Nexora systems and networks:</w:t>
      </w:r>
    </w:p>
    <w:p>
      <w:pPr>
        <w:pStyle w:val="ListParagraph"/>
        <w:numPr>
          <w:ilvl w:val="0"/>
          <w:numId w:val="2"/>
        </w:numPr>
        <w:spacing w:before="40" w:after="40"/>
      </w:pPr>
      <w:r>
        <w:rPr>
          <w:rFonts w:ascii="Arial" w:cs="Arial" w:eastAsia="Arial" w:hAnsi="Arial"/>
          <w:sz w:val="22"/>
          <w:szCs w:val="22"/>
        </w:rPr>
        <w:t xml:space="preserve">Installing unauthorized software on company devices without IT approval.</w:t>
      </w:r>
    </w:p>
    <w:p>
      <w:pPr>
        <w:pStyle w:val="ListParagraph"/>
        <w:numPr>
          <w:ilvl w:val="0"/>
          <w:numId w:val="2"/>
        </w:numPr>
        <w:spacing w:before="40" w:after="40"/>
      </w:pPr>
      <w:r>
        <w:rPr>
          <w:rFonts w:ascii="Arial" w:cs="Arial" w:eastAsia="Arial" w:hAnsi="Arial"/>
          <w:sz w:val="22"/>
          <w:szCs w:val="22"/>
        </w:rPr>
        <w:t xml:space="preserve">Accessing, downloading, or distributing illegal, offensive, or adult content.</w:t>
      </w:r>
    </w:p>
    <w:p>
      <w:pPr>
        <w:pStyle w:val="ListParagraph"/>
        <w:numPr>
          <w:ilvl w:val="0"/>
          <w:numId w:val="2"/>
        </w:numPr>
        <w:spacing w:before="40" w:after="40"/>
      </w:pPr>
      <w:r>
        <w:rPr>
          <w:rFonts w:ascii="Arial" w:cs="Arial" w:eastAsia="Arial" w:hAnsi="Arial"/>
          <w:sz w:val="22"/>
          <w:szCs w:val="22"/>
        </w:rPr>
        <w:t xml:space="preserve">Mining cryptocurrency or running non-work compute workloads on company hardware or cloud accounts.</w:t>
      </w:r>
    </w:p>
    <w:p>
      <w:pPr>
        <w:pStyle w:val="ListParagraph"/>
        <w:numPr>
          <w:ilvl w:val="0"/>
          <w:numId w:val="2"/>
        </w:numPr>
        <w:spacing w:before="40" w:after="40"/>
      </w:pPr>
      <w:r>
        <w:rPr>
          <w:rFonts w:ascii="Arial" w:cs="Arial" w:eastAsia="Arial" w:hAnsi="Arial"/>
          <w:sz w:val="22"/>
          <w:szCs w:val="22"/>
        </w:rPr>
        <w:t xml:space="preserve">Attempting to access systems, accounts, or data you are not authorized to access (including other employees' email or files).</w:t>
      </w:r>
    </w:p>
    <w:p>
      <w:pPr>
        <w:pStyle w:val="ListParagraph"/>
        <w:numPr>
          <w:ilvl w:val="0"/>
          <w:numId w:val="2"/>
        </w:numPr>
        <w:spacing w:before="40" w:after="40"/>
      </w:pPr>
      <w:r>
        <w:rPr>
          <w:rFonts w:ascii="Arial" w:cs="Arial" w:eastAsia="Arial" w:hAnsi="Arial"/>
          <w:sz w:val="22"/>
          <w:szCs w:val="22"/>
        </w:rPr>
        <w:t xml:space="preserve">Sharing login credentials with any other person including colleagues.</w:t>
      </w:r>
    </w:p>
    <w:p>
      <w:pPr>
        <w:pStyle w:val="ListParagraph"/>
        <w:numPr>
          <w:ilvl w:val="0"/>
          <w:numId w:val="2"/>
        </w:numPr>
        <w:spacing w:before="40" w:after="40"/>
      </w:pPr>
      <w:r>
        <w:rPr>
          <w:rFonts w:ascii="Arial" w:cs="Arial" w:eastAsia="Arial" w:hAnsi="Arial"/>
          <w:sz w:val="22"/>
          <w:szCs w:val="22"/>
        </w:rPr>
        <w:t xml:space="preserve">Using company email for commercial activities unrelated to Nexora's business.</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7. Incident Response</w:t>
      </w:r>
    </w:p>
    <w:p>
      <w:pPr>
        <w:pStyle w:val="Heading2"/>
        <w:spacing w:before="240" w:after="120"/>
      </w:pPr>
      <w:r>
        <w:rPr>
          <w:rFonts w:ascii="Arial" w:cs="Arial" w:eastAsia="Arial" w:hAnsi="Arial"/>
          <w:b/>
          <w:bCs/>
          <w:color w:val="2E75B6"/>
          <w:sz w:val="26"/>
          <w:szCs w:val="26"/>
        </w:rPr>
        <w:t xml:space="preserve">7.1 What to Report</w:t>
      </w:r>
    </w:p>
    <w:p>
      <w:pPr>
        <w:spacing w:before="60" w:after="60"/>
        <w:jc w:val="both"/>
      </w:pPr>
      <w:r>
        <w:rPr>
          <w:rFonts w:ascii="Arial" w:cs="Arial" w:eastAsia="Arial" w:hAnsi="Arial"/>
          <w:sz w:val="22"/>
          <w:szCs w:val="22"/>
        </w:rPr>
        <w:t xml:space="preserve">The following must be reported to security@nexoratech.in immediately upon discovery:</w:t>
      </w:r>
    </w:p>
    <w:p>
      <w:pPr>
        <w:pStyle w:val="ListParagraph"/>
        <w:numPr>
          <w:ilvl w:val="0"/>
          <w:numId w:val="2"/>
        </w:numPr>
        <w:spacing w:before="40" w:after="40"/>
      </w:pPr>
      <w:r>
        <w:rPr>
          <w:rFonts w:ascii="Arial" w:cs="Arial" w:eastAsia="Arial" w:hAnsi="Arial"/>
          <w:sz w:val="22"/>
          <w:szCs w:val="22"/>
        </w:rPr>
        <w:t xml:space="preserve">Lost or stolen company device.</w:t>
      </w:r>
    </w:p>
    <w:p>
      <w:pPr>
        <w:pStyle w:val="ListParagraph"/>
        <w:numPr>
          <w:ilvl w:val="0"/>
          <w:numId w:val="2"/>
        </w:numPr>
        <w:spacing w:before="40" w:after="40"/>
      </w:pPr>
      <w:r>
        <w:rPr>
          <w:rFonts w:ascii="Arial" w:cs="Arial" w:eastAsia="Arial" w:hAnsi="Arial"/>
          <w:sz w:val="22"/>
          <w:szCs w:val="22"/>
        </w:rPr>
        <w:t xml:space="preserve">Suspected phishing email or social engineering attempt (forward the email as an attachment).</w:t>
      </w:r>
    </w:p>
    <w:p>
      <w:pPr>
        <w:pStyle w:val="ListParagraph"/>
        <w:numPr>
          <w:ilvl w:val="0"/>
          <w:numId w:val="2"/>
        </w:numPr>
        <w:spacing w:before="40" w:after="40"/>
      </w:pPr>
      <w:r>
        <w:rPr>
          <w:rFonts w:ascii="Arial" w:cs="Arial" w:eastAsia="Arial" w:hAnsi="Arial"/>
          <w:sz w:val="22"/>
          <w:szCs w:val="22"/>
        </w:rPr>
        <w:t xml:space="preserve">Unauthorized access to your account or systems.</w:t>
      </w:r>
    </w:p>
    <w:p>
      <w:pPr>
        <w:pStyle w:val="ListParagraph"/>
        <w:numPr>
          <w:ilvl w:val="0"/>
          <w:numId w:val="2"/>
        </w:numPr>
        <w:spacing w:before="40" w:after="40"/>
      </w:pPr>
      <w:r>
        <w:rPr>
          <w:rFonts w:ascii="Arial" w:cs="Arial" w:eastAsia="Arial" w:hAnsi="Arial"/>
          <w:sz w:val="22"/>
          <w:szCs w:val="22"/>
        </w:rPr>
        <w:t xml:space="preserve">Exposure of customer data or company Confidential/Restricted information.</w:t>
      </w:r>
    </w:p>
    <w:p>
      <w:pPr>
        <w:pStyle w:val="ListParagraph"/>
        <w:numPr>
          <w:ilvl w:val="0"/>
          <w:numId w:val="2"/>
        </w:numPr>
        <w:spacing w:before="40" w:after="40"/>
      </w:pPr>
      <w:r>
        <w:rPr>
          <w:rFonts w:ascii="Arial" w:cs="Arial" w:eastAsia="Arial" w:hAnsi="Arial"/>
          <w:sz w:val="22"/>
          <w:szCs w:val="22"/>
        </w:rPr>
        <w:t xml:space="preserve">Ransomware, malware, or unusual system behavior.</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7.2 Response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Critical (data breach, ransomware)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within 1 hour, 24/7</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High (lost device, unauthorized access)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within 4 hours during business hours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Medium (phishing attempt, policy violation)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within 1 business day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Low (software approval requests)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within 3 business days</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7.3 No-Blame Reporting</w:t>
      </w:r>
    </w:p>
    <w:p>
      <w:pPr>
        <w:spacing w:before="60" w:after="60"/>
        <w:jc w:val="both"/>
      </w:pPr>
      <w:r>
        <w:rPr>
          <w:rFonts w:ascii="Arial" w:cs="Arial" w:eastAsia="Arial" w:hAnsi="Arial"/>
          <w:sz w:val="22"/>
          <w:szCs w:val="22"/>
        </w:rPr>
        <w:t xml:space="preserve">Nexora operates a no-blame incident reporting culture. If you made a mistake — clicked a phishing link, accidentally exposed data, or lost a device — report it immediately. Early reporting significantly limits the impact of security incidents. Delayed or concealed reporting will be treated more severely in any disciplinary review.</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8. Security Training</w:t>
      </w:r>
    </w:p>
    <w:p>
      <w:pPr>
        <w:spacing w:before="60" w:after="60"/>
        <w:jc w:val="both"/>
      </w:pPr>
      <w:r>
        <w:rPr>
          <w:rFonts w:ascii="Arial" w:cs="Arial" w:eastAsia="Arial" w:hAnsi="Arial"/>
          <w:sz w:val="22"/>
          <w:szCs w:val="22"/>
        </w:rPr>
        <w:t xml:space="preserve">All employees must complete the annual security awareness training on the Nexora Learning Portal within 30 days of joining and every year thereafter. The training covers phishing recognition, password hygiene, data handling, and incident reporting. Completion is tracked by IT and is a requirement for annual performance review sign-off.</w:t>
      </w:r>
    </w:p>
    <w:p>
      <w:pPr>
        <w:spacing w:before="80" w:after="80"/>
      </w:pPr>
      <w:r>
        <w:t xml:space="preserve"/>
      </w:r>
    </w:p>
    <w:p>
      <w:pPr>
        <w:spacing w:before="60" w:after="60"/>
        <w:jc w:val="both"/>
      </w:pPr>
      <w:r>
        <w:rPr>
          <w:rFonts w:ascii="Arial" w:cs="Arial" w:eastAsia="Arial" w:hAnsi="Arial"/>
          <w:i/>
          <w:iCs/>
          <w:color w:val="888888"/>
          <w:sz w:val="22"/>
          <w:szCs w:val="22"/>
        </w:rPr>
        <w:t xml:space="preserve">Policy Owner: IT Security Team | Last Reviewed: February 28, 2025 | Next Review: February 2026 | Questions: security@nexoratech.in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CONFIDENTIAL — All Employees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Nexora Technologies — IT Security Policy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2026-03-29T13:47:25.669Z</dcterms:created>
  <dcterms:modified xsi:type="dcterms:W3CDTF">2026-03-29T13:47:25.669Z</dcterms:modified>
</cp:coreProperties>
</file>

<file path=docProps/custom.xml><?xml version="1.0" encoding="utf-8"?>
<Properties xmlns="http://schemas.openxmlformats.org/officeDocument/2006/custom-properties" xmlns:vt="http://schemas.openxmlformats.org/officeDocument/2006/docPropsVTypes"/>
</file>