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463408ce3c554eb3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002" wp14:textId="77777777">
      <w:pPr>
        <w:pStyle w:val="Heading3"/>
        <w:rPr>
          <w:rFonts w:ascii="Arial" w:hAnsi="Arial" w:eastAsia="Arial" w:cs="Arial"/>
          <w:b w:val="1"/>
          <w:bCs w:val="1"/>
          <w:color w:val="000000"/>
          <w:sz w:val="24"/>
          <w:szCs w:val="24"/>
        </w:rPr>
      </w:pPr>
      <w:r>
        <w:rPr>
          <w:rFonts w:ascii="Arial" w:hAnsi="Arial" w:eastAsia="Arial" w:cs="Arial"/>
          <w:b w:val="1"/>
          <w:bCs w:val="1"/>
          <w:color w:val="000000"/>
          <w:sz w:val="24"/>
          <w:szCs w:val="24"/>
          <w:rtl w:val="0"/>
        </w:rPr>
        <w:t xml:space="preserve">FIGURE TITLES AND LEGENDS</w:t>
      </w:r>
    </w:p>
    <w:p xmlns:wp14="http://schemas.microsoft.com/office/word/2010/wordml" w:rsidRDefault="00000000" w14:paraId="00000003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rPr>
          <w:rFonts w:ascii="Arial" w:hAnsi="Arial" w:eastAsia="Arial" w:cs="Arial"/>
          <w:b w:val="1"/>
          <w:bCs w:val="1"/>
          <w:u w:val="single"/>
        </w:rPr>
      </w:pPr>
      <w:r>
        <w:rPr>
          <w:rFonts w:ascii="Arial" w:hAnsi="Arial" w:eastAsia="Arial" w:cs="Arial"/>
          <w:b w:val="1"/>
          <w:bCs w:val="1"/>
          <w:u w:val="single"/>
          <w:rtl w:val="0"/>
        </w:rPr>
        <w:t xml:space="preserve">Extended Data Fig. 5 | BH4 and antioxidant pathway transcriptional features across breast cancer cell states</w:t>
      </w:r>
    </w:p>
    <w:p xmlns:wp14="http://schemas.microsoft.com/office/word/2010/wordml" w:rsidRDefault="00000000" w14:paraId="00000005" wp14:textId="77777777">
      <w:pPr>
        <w:rPr>
          <w:rFonts w:ascii="Arial" w:hAnsi="Arial" w:eastAsia="Arial" w:cs="Arial"/>
          <w:b w:val="1"/>
          <w:bCs w:val="1"/>
          <w:u w:val="single"/>
        </w:rPr>
      </w:pPr>
      <w:r>
        <w:rPr>
          <w:rtl w:val="0"/>
        </w:rPr>
      </w:r>
    </w:p>
    <w:p xmlns:wp14="http://schemas.microsoft.com/office/word/2010/wordml" w:rsidRDefault="00000000" w14:paraId="00000006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b w:val="1"/>
          <w:bCs w:val="1"/>
          <w:rtl w:val="0"/>
        </w:rPr>
        <w:t xml:space="preserve">a-d, </w:t>
      </w:r>
      <w:r>
        <w:rPr>
          <w:rFonts w:ascii="Arial" w:hAnsi="Arial" w:eastAsia="Arial" w:cs="Arial"/>
          <w:rtl w:val="0"/>
        </w:rPr>
        <w:t xml:space="preserve">Glutathione (</w:t>
      </w:r>
      <w:r>
        <w:rPr>
          <w:rFonts w:ascii="Arial" w:hAnsi="Arial" w:eastAsia="Arial" w:cs="Arial"/>
          <w:b w:val="1"/>
          <w:bCs w:val="1"/>
          <w:rtl w:val="0"/>
        </w:rPr>
        <w:t xml:space="preserve">a</w:t>
      </w:r>
      <w:r>
        <w:rPr>
          <w:rFonts w:ascii="Arial" w:hAnsi="Arial" w:eastAsia="Arial" w:cs="Arial"/>
          <w:rtl w:val="0"/>
        </w:rPr>
        <w:t xml:space="preserve">), CoQ10 (</w:t>
      </w:r>
      <w:r>
        <w:rPr>
          <w:rFonts w:ascii="Arial" w:hAnsi="Arial" w:eastAsia="Arial" w:cs="Arial"/>
          <w:b w:val="1"/>
          <w:bCs w:val="1"/>
          <w:rtl w:val="0"/>
        </w:rPr>
        <w:t xml:space="preserve">b</w:t>
      </w:r>
      <w:r>
        <w:rPr>
          <w:rFonts w:ascii="Arial" w:hAnsi="Arial" w:eastAsia="Arial" w:cs="Arial"/>
          <w:rtl w:val="0"/>
        </w:rPr>
        <w:t xml:space="preserve">), thioredoxin (</w:t>
      </w:r>
      <w:r>
        <w:rPr>
          <w:rFonts w:ascii="Arial" w:hAnsi="Arial" w:eastAsia="Arial" w:cs="Arial"/>
          <w:b w:val="1"/>
          <w:bCs w:val="1"/>
          <w:rtl w:val="0"/>
        </w:rPr>
        <w:t xml:space="preserve">c</w:t>
      </w:r>
      <w:r>
        <w:rPr>
          <w:rFonts w:ascii="Arial" w:hAnsi="Arial" w:eastAsia="Arial" w:cs="Arial"/>
          <w:rtl w:val="0"/>
        </w:rPr>
        <w:t xml:space="preserve">) and peroxiredoxin (</w:t>
      </w:r>
      <w:r>
        <w:rPr>
          <w:rFonts w:ascii="Arial" w:hAnsi="Arial" w:eastAsia="Arial" w:cs="Arial"/>
          <w:b w:val="1"/>
          <w:bCs w:val="1"/>
          <w:rtl w:val="0"/>
        </w:rPr>
        <w:t xml:space="preserve">d</w:t>
      </w:r>
      <w:r>
        <w:rPr>
          <w:rFonts w:ascii="Arial" w:hAnsi="Arial" w:eastAsia="Arial" w:cs="Arial"/>
          <w:rtl w:val="0"/>
        </w:rPr>
        <w:t xml:space="preserve">) pathway scores in malignant cells from primary human breast tumors classified as epithelial, intermediate epithelial/mesenchymal (E/M) or mesenchymal according to KS-based EMT scores.</w:t>
      </w:r>
    </w:p>
    <w:p xmlns:wp14="http://schemas.microsoft.com/office/word/2010/wordml" w:rsidRDefault="00000000" w14:paraId="00000007" wp14:textId="77777777">
      <w:pPr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008" wp14:textId="4DF8AF83">
      <w:pPr>
        <w:rPr>
          <w:rFonts w:ascii="Arial" w:hAnsi="Arial" w:eastAsia="Arial" w:cs="Arial"/>
        </w:rPr>
      </w:pPr>
      <w:r w:rsidRPr="748C0DFE" w:rsidR="748C0DFE">
        <w:rPr>
          <w:rFonts w:ascii="Arial" w:hAnsi="Arial" w:eastAsia="Arial" w:cs="Arial"/>
          <w:b w:val="1"/>
          <w:bCs w:val="1"/>
        </w:rPr>
        <w:t>e,</w:t>
      </w:r>
      <w:r w:rsidRPr="748C0DFE" w:rsidR="748C0DFE">
        <w:rPr>
          <w:rFonts w:ascii="Arial" w:hAnsi="Arial" w:eastAsia="Arial" w:cs="Arial"/>
        </w:rPr>
        <w:t xml:space="preserve"> BH4-pathway transcriptional scores across functionally characterized epithelial, intermediate epithelial/mesenchymal (E/M) or mesenchymal SUM149PT breast cancer cell states, based on analysis of published transcriptomic data (PMID: 35921406). </w:t>
      </w:r>
    </w:p>
    <w:p xmlns:wp14="http://schemas.microsoft.com/office/word/2010/wordml" w:rsidRDefault="00000000" w14:paraId="00000009" wp14:textId="77777777">
      <w:pPr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P="748C0DFE" w:rsidRDefault="00000000" w14:paraId="0000000A" wp14:textId="45B28E7B">
      <w:pPr>
        <w:rPr>
          <w:rFonts w:ascii="Arial" w:hAnsi="Arial" w:eastAsia="Arial" w:cs="Arial"/>
          <w:lang w:val="en-US"/>
        </w:rPr>
      </w:pPr>
      <w:r w:rsidRPr="748C0DFE" w:rsidR="748C0DFE">
        <w:rPr>
          <w:rFonts w:ascii="Arial" w:hAnsi="Arial" w:eastAsia="Arial" w:cs="Arial"/>
          <w:lang w:val="en-US"/>
        </w:rPr>
        <w:t xml:space="preserve">f, Heatmap showing expression of the seven genes </w:t>
      </w:r>
      <w:r w:rsidRPr="748C0DFE" w:rsidR="748C0DFE">
        <w:rPr>
          <w:rFonts w:ascii="Arial" w:hAnsi="Arial" w:eastAsia="Arial" w:cs="Arial"/>
          <w:lang w:val="en-US"/>
        </w:rPr>
        <w:t>comprising</w:t>
      </w:r>
      <w:r w:rsidRPr="748C0DFE" w:rsidR="748C0DFE">
        <w:rPr>
          <w:rFonts w:ascii="Arial" w:hAnsi="Arial" w:eastAsia="Arial" w:cs="Arial"/>
          <w:lang w:val="en-US"/>
        </w:rPr>
        <w:t xml:space="preserve"> the BH4-pathway transcriptional signature across epithelial, intermediate epithelial/mesenchymal (E/M) and mesenchymal SUM149PT breast cancer cell states (PMID: 35921406). </w:t>
      </w:r>
    </w:p>
    <w:p xmlns:wp14="http://schemas.microsoft.com/office/word/2010/wordml" w:rsidRDefault="00000000" w14:paraId="0000000B" wp14:textId="77777777">
      <w:pPr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P="748C0DFE" w:rsidRDefault="00000000" w14:paraId="0000000C" wp14:textId="6157BD49">
      <w:pPr>
        <w:rPr>
          <w:rFonts w:ascii="Arial" w:hAnsi="Arial" w:eastAsia="Arial" w:cs="Arial"/>
          <w:lang w:val="en-US"/>
        </w:rPr>
      </w:pPr>
      <w:r w:rsidRPr="748C0DFE">
        <w:rPr>
          <w:rFonts w:ascii="Arial" w:hAnsi="Arial" w:eastAsia="Arial" w:cs="Arial"/>
          <w:lang w:val="en-US"/>
        </w:rPr>
        <w:t xml:space="preserve">For </w:t>
      </w:r>
      <w:r w:rsidRPr="748C0DFE">
        <w:rPr>
          <w:rFonts w:ascii="Arial" w:hAnsi="Arial" w:eastAsia="Arial" w:cs="Arial"/>
          <w:b w:val="1"/>
          <w:bCs w:val="1"/>
          <w:lang w:val="en-US"/>
        </w:rPr>
        <w:t xml:space="preserve">a-d</w:t>
      </w:r>
      <w:r w:rsidRPr="748C0DFE">
        <w:rPr>
          <w:rFonts w:ascii="Arial" w:hAnsi="Arial" w:eastAsia="Arial" w:cs="Arial"/>
          <w:lang w:val="en-US"/>
        </w:rPr>
        <w:t xml:space="preserve">, </w:t>
      </w:r>
      <w:r w:rsidRPr="748C0DFE">
        <w:rPr>
          <w:rFonts w:ascii="Arial" w:hAnsi="Arial" w:eastAsia="Arial" w:cs="Arial"/>
          <w:shd w:val="clear" w:fill="fff2cc"/>
          <w:lang w:val="en-US"/>
        </w:rPr>
        <w:t xml:space="preserve">(</w:t>
      </w:r>
      <w:r w:rsidRPr="748C0DFE">
        <w:rPr>
          <w:rFonts w:ascii="Arial" w:hAnsi="Arial" w:eastAsia="Arial" w:cs="Arial"/>
          <w:shd w:val="clear" w:fill="fff2cc"/>
          <w:lang w:val="en-US"/>
        </w:rPr>
        <w:t xml:space="preserve">include</w:t>
      </w:r>
      <w:r w:rsidRPr="748C0DFE">
        <w:rPr>
          <w:rFonts w:ascii="Arial" w:hAnsi="Arial" w:eastAsia="Arial" w:cs="Arial"/>
          <w:shd w:val="clear" w:fill="fff2cc"/>
          <w:lang w:val="en-US"/>
        </w:rPr>
        <w:t xml:space="preserve"> info about sample size and statistical analysis). For </w:t>
      </w:r>
      <w:r w:rsidRPr="748C0DFE">
        <w:rPr>
          <w:rFonts w:ascii="Arial" w:hAnsi="Arial" w:eastAsia="Arial" w:cs="Arial"/>
          <w:b w:val="1"/>
          <w:bCs w:val="1"/>
          <w:shd w:val="clear" w:fill="fff2cc"/>
          <w:lang w:val="en-US"/>
        </w:rPr>
        <w:t xml:space="preserve">e,</w:t>
      </w:r>
      <w:r w:rsidRPr="748C0DFE">
        <w:rPr>
          <w:rFonts w:ascii="Arial" w:hAnsi="Arial" w:eastAsia="Arial" w:cs="Arial"/>
          <w:b w:val="1"/>
          <w:bCs w:val="1"/>
          <w:shd w:val="clear" w:fill="fff2cc"/>
          <w:lang w:val="en-US"/>
        </w:rPr>
        <w:t xml:space="preserve"> </w:t>
      </w:r>
      <w:r w:rsidRPr="748C0DFE">
        <w:rPr>
          <w:rFonts w:ascii="Arial" w:hAnsi="Arial" w:eastAsia="Arial" w:cs="Arial"/>
          <w:shd w:val="clear" w:fill="fff2cc"/>
          <w:lang w:val="en-US"/>
        </w:rPr>
        <w:t xml:space="preserve">(</w:t>
      </w:r>
      <w:r w:rsidRPr="748C0DFE">
        <w:rPr>
          <w:rFonts w:ascii="Arial" w:hAnsi="Arial" w:eastAsia="Arial" w:cs="Arial"/>
          <w:shd w:val="clear" w:fill="fff2cc"/>
          <w:lang w:val="en-US"/>
        </w:rPr>
        <w:t xml:space="preserve">include</w:t>
      </w:r>
      <w:r w:rsidRPr="748C0DFE">
        <w:rPr>
          <w:rFonts w:ascii="Arial" w:hAnsi="Arial" w:eastAsia="Arial" w:cs="Arial"/>
          <w:shd w:val="clear" w:fill="fff2cc"/>
          <w:lang w:val="en-US"/>
        </w:rPr>
        <w:t xml:space="preserve"> info about sample size and statistical analysis). For </w:t>
      </w:r>
      <w:r w:rsidRPr="748C0DFE">
        <w:rPr>
          <w:rFonts w:ascii="Arial" w:hAnsi="Arial" w:eastAsia="Arial" w:cs="Arial"/>
          <w:b w:val="1"/>
          <w:bCs w:val="1"/>
          <w:shd w:val="clear" w:fill="fff2cc"/>
          <w:lang w:val="en-US"/>
        </w:rPr>
        <w:t xml:space="preserve">f</w:t>
      </w:r>
      <w:r w:rsidRPr="748C0DFE">
        <w:rPr>
          <w:rFonts w:ascii="Arial" w:hAnsi="Arial" w:eastAsia="Arial" w:cs="Arial"/>
          <w:shd w:val="clear" w:fill="fff2cc"/>
          <w:lang w:val="en-US"/>
        </w:rPr>
        <w:t xml:space="preserve">, (</w:t>
      </w:r>
      <w:r w:rsidRPr="748C0DFE">
        <w:rPr>
          <w:rFonts w:ascii="Arial" w:hAnsi="Arial" w:eastAsia="Arial" w:cs="Arial"/>
          <w:shd w:val="clear" w:fill="fff2cc"/>
          <w:lang w:val="en-US"/>
        </w:rPr>
        <w:t xml:space="preserve">include</w:t>
      </w:r>
      <w:r w:rsidRPr="748C0DFE">
        <w:rPr>
          <w:rFonts w:ascii="Arial" w:hAnsi="Arial" w:eastAsia="Arial" w:cs="Arial"/>
          <w:shd w:val="clear" w:fill="fff2cc"/>
          <w:lang w:val="en-US"/>
        </w:rPr>
        <w:t xml:space="preserve"> info about sample size and statistical </w:t>
      </w:r>
      <w:r w:rsidRPr="748C0DFE">
        <w:rPr>
          <w:rFonts w:ascii="Arial" w:hAnsi="Arial" w:eastAsia="Arial" w:cs="Arial"/>
          <w:shd w:val="clear" w:fill="fff2cc"/>
          <w:lang w:val="en-US"/>
        </w:rPr>
        <w:t xml:space="preserve">analysis</w:t>
      </w:r>
      <w:r w:rsidRPr="748C0DFE">
        <w:rPr>
          <w:rFonts w:ascii="Arial" w:hAnsi="Arial" w:eastAsia="Arial" w:cs="Arial"/>
          <w:shd w:val="clear" w:fill="fff2cc"/>
          <w:lang w:val="en-US"/>
        </w:rPr>
        <w:t xml:space="preserve">)</w:t>
      </w:r>
      <w:r w:rsidRPr="748C0DFE">
        <w:rPr>
          <w:rFonts w:ascii="Arial" w:hAnsi="Arial" w:eastAsia="Arial" w:cs="Arial"/>
          <w:lang w:val="en-US"/>
        </w:rPr>
        <w:t xml:space="preserve">. </w:t>
      </w:r>
    </w:p>
    <w:p w:rsidR="748C0DFE" w:rsidP="748C0DFE" w:rsidRDefault="748C0DFE" w14:paraId="35D313EB" w14:textId="56A8A2FA">
      <w:pPr>
        <w:rPr>
          <w:rFonts w:ascii="Arial" w:hAnsi="Arial" w:eastAsia="Arial" w:cs="Arial"/>
          <w:rtl w:val="0"/>
          <w:lang w:val="en-US"/>
        </w:rPr>
      </w:pPr>
    </w:p>
    <w:p w:rsidR="748C0DFE" w:rsidP="748C0DFE" w:rsidRDefault="748C0DFE" w14:paraId="0176CF11" w14:textId="79835DB5">
      <w:pPr>
        <w:rPr>
          <w:rFonts w:ascii="Arial" w:hAnsi="Arial" w:eastAsia="Arial" w:cs="Arial"/>
          <w:rtl w:val="0"/>
          <w:lang w:val="en-US"/>
        </w:rPr>
      </w:pPr>
      <w:r w:rsidRPr="748C0DFE" w:rsidR="748C0DFE">
        <w:rPr>
          <w:rFonts w:ascii="Arial" w:hAnsi="Arial" w:eastAsia="Arial" w:cs="Arial"/>
          <w:lang w:val="en-US"/>
        </w:rPr>
        <w:t>(Write exact p value instead of asterisks)</w:t>
      </w:r>
    </w:p>
    <w:p xmlns:wp14="http://schemas.microsoft.com/office/word/2010/wordml" w:rsidRDefault="00000000" w14:paraId="0000000D" wp14:textId="77777777">
      <w:pPr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00E" wp14:textId="77777777">
      <w:pPr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00F" wp14:textId="77777777">
      <w:pPr>
        <w:rPr/>
      </w:pPr>
      <w:r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Play">
    <w:embedRegular w:fontKey="{00000000-0000-0000-0000-000000000000}" w:subsetted="0" r:id="rId1"/>
    <w:embedBold w:fontKey="{00000000-0000-0000-0000-000000000000}" w:subsetted="0" r:id="rId2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FAE5CFA"/>
  <w15:docId w15:val="{7D6B1DFA-AAE4-4BA2-891F-EDDD888D784A}"/>
  <w:rsids>
    <w:rsidRoot w:val="748C0DFE"/>
    <w:rsid w:val="748C0DFE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60" w:after="80" w:line="278.00000000000006" w:lineRule="auto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after="80" w:line="278.00000000000006" w:lineRule="auto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after="80" w:line="278.00000000000006" w:lineRule="auto"/>
    </w:pPr>
    <w:rPr>
      <w:rFonts w:ascii="Aptos" w:hAnsi="Aptos" w:eastAsia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80" w:after="40" w:line="278.00000000000006" w:lineRule="auto"/>
    </w:pPr>
    <w:rPr>
      <w:rFonts w:ascii="Aptos" w:hAnsi="Aptos" w:eastAsia="Aptos" w:cs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before="80" w:after="40" w:line="278.00000000000006" w:lineRule="auto"/>
    </w:pPr>
    <w:rPr>
      <w:rFonts w:ascii="Aptos" w:hAnsi="Aptos" w:eastAsia="Aptos" w:cs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8.00000000000006" w:lineRule="auto"/>
    </w:pPr>
    <w:rPr>
      <w:rFonts w:ascii="Aptos" w:hAnsi="Aptos" w:eastAsia="Aptos" w:cs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hAnsi="Play" w:eastAsia="Play" w:cs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87833"/>
    <w:pPr>
      <w:keepNext w:val="1"/>
      <w:keepLines w:val="1"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0000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87833"/>
    <w:pPr>
      <w:keepNext w:val="1"/>
      <w:keepLines w:val="1"/>
      <w:spacing w:line="278" w:lineRule="auto"/>
      <w:outlineLvl w:val="7"/>
    </w:pPr>
    <w:rPr>
      <w:rFonts w:asciiTheme="minorHAnsi" w:hAnsiTheme="minorHAnsi" w:eastAsiaTheme="majorEastAsia" w:cstheme="majorBidi"/>
      <w:i w:val="1"/>
      <w:iCs w:val="1"/>
      <w:color w:val="272727" w:themeColor="text1" w:themeTint="0000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87833"/>
    <w:pPr>
      <w:keepNext w:val="1"/>
      <w:keepLines w:val="1"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0000D8"/>
      <w:kern w:val="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87833"/>
    <w:rPr>
      <w:rFonts w:asciiTheme="majorHAnsi" w:hAnsiTheme="majorHAnsi" w:eastAsiaTheme="majorEastAsia" w:cstheme="majorBid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87833"/>
    <w:rPr>
      <w:rFonts w:asciiTheme="majorHAnsi" w:hAnsiTheme="majorHAnsi" w:eastAsiaTheme="majorEastAsia" w:cstheme="majorBid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87833"/>
    <w:rPr>
      <w:rFonts w:eastAsiaTheme="majorEastAsia" w:cstheme="majorBidi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87833"/>
    <w:rPr>
      <w:rFonts w:eastAsiaTheme="majorEastAsia" w:cstheme="majorBid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87833"/>
    <w:rPr>
      <w:rFonts w:eastAsiaTheme="majorEastAsia" w:cstheme="majorBid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87833"/>
    <w:rPr>
      <w:rFonts w:eastAsiaTheme="majorEastAsia" w:cstheme="majorBid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87833"/>
    <w:rPr>
      <w:rFonts w:eastAsiaTheme="majorEastAsia" w:cstheme="majorBid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87833"/>
    <w:rPr>
      <w:rFonts w:eastAsiaTheme="majorEastAsia" w:cstheme="majorBid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87833"/>
    <w:rPr>
      <w:rFonts w:eastAsiaTheme="majorEastAsia" w:cstheme="majorBid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8783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87833"/>
    <w:rPr>
      <w:rFonts w:eastAsiaTheme="majorEastAsia" w:cstheme="majorBid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87833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 w:val="1"/>
      <w:iCs w:val="1"/>
      <w:color w:val="404040" w:themeColor="text1" w:themeTint="0000BF"/>
      <w:kern w:val="2"/>
    </w:rPr>
  </w:style>
  <w:style w:type="character" w:styleId="QuoteChar" w:customStyle="1">
    <w:name w:val="Quote Char"/>
    <w:basedOn w:val="DefaultParagraphFont"/>
    <w:link w:val="Quote"/>
    <w:uiPriority w:val="29"/>
    <w:rsid w:val="00C8783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87833"/>
    <w:pPr>
      <w:spacing w:after="160" w:line="278" w:lineRule="auto"/>
      <w:ind w:left="720"/>
      <w:contextualSpacing w:val="1"/>
    </w:pPr>
    <w:rPr>
      <w:rFonts w:asciiTheme="minorHAnsi" w:hAnsiTheme="minorHAnsi" w:eastAsiaTheme="minorHAnsi" w:cstheme="minorBidi"/>
      <w:kern w:val="2"/>
    </w:rPr>
  </w:style>
  <w:style w:type="character" w:styleId="IntenseEmphasis">
    <w:name w:val="Intense Emphasis"/>
    <w:basedOn w:val="DefaultParagraphFont"/>
    <w:uiPriority w:val="21"/>
    <w:qFormat w:val="1"/>
    <w:rsid w:val="00C8783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87833"/>
    <w:pPr>
      <w:pBdr>
        <w:top w:val="single" w:color="0f4761" w:themeColor="accent1" w:themeShade="0000BF" w:sz="4" w:space="10"/>
        <w:bottom w:val="single" w:color="0f4761" w:themeColor="accent1" w:themeShade="0000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 w:val="1"/>
      <w:iCs w:val="1"/>
      <w:color w:val="0f4761" w:themeColor="accent1" w:themeShade="0000BF"/>
      <w:kern w:val="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8783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87833"/>
    <w:rPr>
      <w:b w:val="1"/>
      <w:bCs w:val="1"/>
      <w:smallCaps w:val="1"/>
      <w:color w:val="0f4761" w:themeColor="accent1" w:themeShade="0000BF"/>
      <w:spacing w:val="5"/>
    </w:rPr>
  </w:style>
  <w:style w:type="paragraph" w:styleId="Revision">
    <w:name w:val="Revision"/>
    <w:hidden w:val="1"/>
    <w:uiPriority w:val="99"/>
    <w:semiHidden w:val="1"/>
    <w:rsid w:val="00B03B8D"/>
    <w:pPr>
      <w:spacing w:after="0" w:line="240" w:lineRule="auto"/>
    </w:pPr>
    <w:rPr>
      <w:rFonts w:ascii="Calibri" w:hAnsi="Calibri" w:eastAsia="Calibri" w:cs="Calibri"/>
      <w:kern w:val="0"/>
    </w:rPr>
  </w:style>
  <w:style w:type="character" w:styleId="CommentReference">
    <w:name w:val="Comment Reference"/>
    <w:basedOn w:val="DefaultParagraphFont"/>
    <w:uiPriority w:val="99"/>
    <w:semiHidden w:val="1"/>
    <w:unhideWhenUsed w:val="1"/>
    <w:rsid w:val="00B03B8D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 w:val="1"/>
    <w:unhideWhenUsed w:val="1"/>
    <w:rsid w:val="00B03B8D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B03B8D"/>
    <w:rPr>
      <w:rFonts w:ascii="Calibri" w:hAnsi="Calibri" w:eastAsia="Calibri" w:cs="Calibri"/>
      <w:kern w:val="0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 w:val="1"/>
    <w:unhideWhenUsed w:val="1"/>
    <w:rsid w:val="00B03B8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03B8D"/>
    <w:rPr>
      <w:rFonts w:ascii="Calibri" w:hAnsi="Calibri" w:eastAsia="Calibri" w:cs="Calibri"/>
      <w:b w:val="1"/>
      <w:bCs w:val="1"/>
      <w:kern w:val="0"/>
      <w:sz w:val="20"/>
      <w:szCs w:val="20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hAnsi="Aptos" w:eastAsia="Aptos" w:cs="Aptos"/>
      <w:color w:val="595959"/>
      <w:sz w:val="28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w1P+St6tEVnAc0XXTkwHKXKCGw==">CgMxLjA4AHIhMWtUT3FabDdqd3MyWlpaMHFYZDloTVpST1NuY1k5Z2NF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2026-08-22T21:58:00.0000000Z</dcterms:created>
  <dc:creator>Whitney Henry</dc:creator>
  <lastModifiedBy>Whitney Henry</lastModifiedBy>
  <dcterms:modified xsi:type="dcterms:W3CDTF">2026-08-31T20:45:49.4362641Z</dcterms:modified>
</coreProperties>
</file>